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E164D">
      <w:pPr>
        <w:adjustRightInd w:val="0"/>
        <w:snapToGrid w:val="0"/>
        <w:spacing w:line="360" w:lineRule="auto"/>
        <w:ind w:left="-840" w:leftChars="-400" w:firstLine="781" w:firstLineChars="279"/>
        <w:rPr>
          <w:rFonts w:ascii="仿宋" w:hAnsi="仿宋" w:eastAsia="仿宋" w:cs="仿宋"/>
          <w:sz w:val="28"/>
          <w:szCs w:val="28"/>
        </w:rPr>
      </w:pPr>
    </w:p>
    <w:p w14:paraId="7826941D">
      <w:pPr>
        <w:adjustRightInd w:val="0"/>
        <w:snapToGrid w:val="0"/>
        <w:spacing w:line="360" w:lineRule="auto"/>
        <w:rPr>
          <w:rFonts w:ascii="仿宋" w:hAnsi="仿宋" w:eastAsia="仿宋" w:cs="仿宋"/>
          <w:sz w:val="28"/>
          <w:szCs w:val="28"/>
        </w:rPr>
      </w:pPr>
    </w:p>
    <w:p w14:paraId="19A1D2DD">
      <w:pPr>
        <w:adjustRightInd w:val="0"/>
        <w:snapToGrid w:val="0"/>
        <w:spacing w:beforeLines="169" w:line="360" w:lineRule="auto"/>
        <w:jc w:val="center"/>
        <w:rPr>
          <w:rFonts w:ascii="微软雅黑" w:hAnsi="微软雅黑" w:eastAsia="微软雅黑" w:cs="微软雅黑"/>
          <w:sz w:val="72"/>
          <w:szCs w:val="72"/>
        </w:rPr>
      </w:pPr>
      <w:r>
        <w:rPr>
          <w:rFonts w:hint="eastAsia" w:ascii="微软雅黑" w:hAnsi="微软雅黑" w:eastAsia="微软雅黑" w:cs="微软雅黑"/>
          <w:sz w:val="72"/>
          <w:szCs w:val="72"/>
        </w:rPr>
        <w:t>采购文件</w:t>
      </w:r>
    </w:p>
    <w:p w14:paraId="60F8660D">
      <w:pPr>
        <w:adjustRightInd w:val="0"/>
        <w:snapToGrid w:val="0"/>
        <w:spacing w:line="360" w:lineRule="auto"/>
        <w:ind w:left="-840" w:leftChars="-400" w:firstLine="781" w:firstLineChars="279"/>
        <w:rPr>
          <w:rFonts w:ascii="仿宋" w:hAnsi="仿宋" w:eastAsia="仿宋" w:cs="仿宋"/>
          <w:sz w:val="28"/>
          <w:szCs w:val="28"/>
        </w:rPr>
      </w:pPr>
    </w:p>
    <w:p w14:paraId="1DED48B9">
      <w:pPr>
        <w:adjustRightInd w:val="0"/>
        <w:snapToGrid w:val="0"/>
        <w:spacing w:line="360" w:lineRule="auto"/>
        <w:ind w:firstLine="560" w:firstLineChars="200"/>
        <w:rPr>
          <w:rFonts w:ascii="仿宋" w:hAnsi="仿宋" w:eastAsia="仿宋" w:cs="仿宋"/>
          <w:sz w:val="28"/>
          <w:szCs w:val="28"/>
        </w:rPr>
      </w:pPr>
    </w:p>
    <w:p w14:paraId="2DFB85DD">
      <w:pPr>
        <w:adjustRightInd w:val="0"/>
        <w:snapToGrid w:val="0"/>
        <w:spacing w:line="360" w:lineRule="auto"/>
        <w:ind w:firstLine="560" w:firstLineChars="200"/>
        <w:rPr>
          <w:rFonts w:ascii="仿宋" w:hAnsi="仿宋" w:eastAsia="仿宋" w:cs="仿宋"/>
          <w:sz w:val="28"/>
          <w:szCs w:val="28"/>
        </w:rPr>
      </w:pPr>
    </w:p>
    <w:p w14:paraId="67A2E34D">
      <w:pPr>
        <w:adjustRightInd w:val="0"/>
        <w:snapToGrid w:val="0"/>
        <w:spacing w:line="360" w:lineRule="auto"/>
        <w:ind w:firstLine="960" w:firstLineChars="300"/>
        <w:rPr>
          <w:rFonts w:ascii="仿宋" w:hAnsi="仿宋" w:eastAsia="仿宋" w:cs="仿宋"/>
          <w:sz w:val="32"/>
          <w:szCs w:val="32"/>
        </w:rPr>
      </w:pPr>
      <w:r>
        <w:rPr>
          <w:rFonts w:hint="eastAsia" w:ascii="仿宋" w:hAnsi="仿宋" w:eastAsia="仿宋" w:cs="仿宋"/>
          <w:sz w:val="32"/>
          <w:szCs w:val="32"/>
        </w:rPr>
        <w:t>采 购 人：青岛碧海水务有限公司</w:t>
      </w:r>
    </w:p>
    <w:p w14:paraId="55C9506A">
      <w:pPr>
        <w:adjustRightInd w:val="0"/>
        <w:snapToGrid w:val="0"/>
        <w:spacing w:line="360" w:lineRule="auto"/>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rPr>
        <w:t>项目名称：</w:t>
      </w:r>
      <w:r>
        <w:rPr>
          <w:rFonts w:hint="eastAsia" w:ascii="仿宋" w:hAnsi="仿宋" w:eastAsia="仿宋" w:cs="仿宋"/>
          <w:sz w:val="32"/>
          <w:szCs w:val="32"/>
          <w:lang w:val="en-US" w:eastAsia="zh-CN"/>
        </w:rPr>
        <w:t>棘洪滩泵站门窗改造工程</w:t>
      </w:r>
    </w:p>
    <w:p w14:paraId="01ADDE1D">
      <w:pPr>
        <w:adjustRightInd w:val="0"/>
        <w:snapToGrid w:val="0"/>
        <w:spacing w:line="360" w:lineRule="auto"/>
        <w:ind w:firstLine="960" w:firstLineChars="300"/>
        <w:rPr>
          <w:rFonts w:hint="default" w:ascii="仿宋" w:hAnsi="仿宋" w:eastAsia="仿宋" w:cs="仿宋"/>
          <w:sz w:val="32"/>
          <w:szCs w:val="32"/>
          <w:lang w:val="en-US" w:eastAsia="zh-CN"/>
        </w:rPr>
      </w:pPr>
      <w:r>
        <w:rPr>
          <w:rFonts w:hint="eastAsia" w:ascii="仿宋" w:hAnsi="仿宋" w:eastAsia="仿宋" w:cs="仿宋"/>
          <w:sz w:val="32"/>
          <w:szCs w:val="32"/>
        </w:rPr>
        <w:t>项目编号：</w:t>
      </w:r>
      <w:r>
        <w:rPr>
          <w:rFonts w:hint="eastAsia" w:ascii="仿宋" w:hAnsi="仿宋" w:eastAsia="仿宋" w:cs="仿宋"/>
          <w:sz w:val="32"/>
          <w:szCs w:val="32"/>
          <w:lang w:val="en-US" w:eastAsia="zh-CN"/>
        </w:rPr>
        <w:t>CG2025051</w:t>
      </w:r>
    </w:p>
    <w:p w14:paraId="6885501E">
      <w:pPr>
        <w:adjustRightInd w:val="0"/>
        <w:snapToGrid w:val="0"/>
        <w:spacing w:line="360" w:lineRule="auto"/>
        <w:ind w:firstLine="640" w:firstLineChars="200"/>
        <w:jc w:val="center"/>
        <w:rPr>
          <w:rFonts w:ascii="仿宋" w:hAnsi="仿宋" w:eastAsia="仿宋" w:cs="仿宋"/>
          <w:sz w:val="32"/>
          <w:szCs w:val="32"/>
        </w:rPr>
      </w:pPr>
    </w:p>
    <w:p w14:paraId="1BA24837">
      <w:pPr>
        <w:adjustRightInd w:val="0"/>
        <w:snapToGrid w:val="0"/>
        <w:spacing w:line="360" w:lineRule="auto"/>
        <w:ind w:firstLine="560" w:firstLineChars="200"/>
        <w:rPr>
          <w:rFonts w:ascii="仿宋" w:hAnsi="仿宋" w:eastAsia="仿宋" w:cs="仿宋"/>
          <w:sz w:val="28"/>
          <w:szCs w:val="28"/>
        </w:rPr>
      </w:pPr>
    </w:p>
    <w:p w14:paraId="7BD880A3">
      <w:pPr>
        <w:adjustRightInd w:val="0"/>
        <w:snapToGrid w:val="0"/>
        <w:spacing w:line="360" w:lineRule="auto"/>
        <w:ind w:firstLine="560" w:firstLineChars="200"/>
        <w:rPr>
          <w:rFonts w:ascii="仿宋" w:hAnsi="仿宋" w:eastAsia="仿宋" w:cs="仿宋"/>
          <w:sz w:val="28"/>
          <w:szCs w:val="28"/>
        </w:rPr>
      </w:pPr>
    </w:p>
    <w:p w14:paraId="5B304894">
      <w:pPr>
        <w:adjustRightInd w:val="0"/>
        <w:snapToGrid w:val="0"/>
        <w:spacing w:line="360" w:lineRule="auto"/>
        <w:ind w:firstLine="560" w:firstLineChars="200"/>
        <w:rPr>
          <w:rFonts w:ascii="仿宋" w:hAnsi="仿宋" w:eastAsia="仿宋" w:cs="仿宋"/>
          <w:sz w:val="28"/>
          <w:szCs w:val="28"/>
        </w:rPr>
      </w:pPr>
    </w:p>
    <w:p w14:paraId="2E27D0CC">
      <w:pPr>
        <w:adjustRightInd w:val="0"/>
        <w:snapToGrid w:val="0"/>
        <w:spacing w:line="360" w:lineRule="auto"/>
        <w:ind w:firstLine="560" w:firstLineChars="200"/>
        <w:rPr>
          <w:rFonts w:ascii="仿宋" w:hAnsi="仿宋" w:eastAsia="仿宋" w:cs="仿宋"/>
          <w:sz w:val="28"/>
          <w:szCs w:val="28"/>
        </w:rPr>
      </w:pPr>
    </w:p>
    <w:p w14:paraId="449F6A3B">
      <w:pPr>
        <w:adjustRightInd w:val="0"/>
        <w:snapToGrid w:val="0"/>
        <w:spacing w:line="360" w:lineRule="auto"/>
        <w:ind w:firstLine="560" w:firstLineChars="200"/>
        <w:rPr>
          <w:rFonts w:ascii="仿宋" w:hAnsi="仿宋" w:eastAsia="仿宋" w:cs="仿宋"/>
          <w:sz w:val="28"/>
          <w:szCs w:val="28"/>
        </w:rPr>
      </w:pPr>
    </w:p>
    <w:p w14:paraId="4D6B0383">
      <w:pPr>
        <w:adjustRightInd w:val="0"/>
        <w:snapToGrid w:val="0"/>
        <w:spacing w:line="360" w:lineRule="auto"/>
        <w:ind w:firstLine="560" w:firstLineChars="200"/>
        <w:rPr>
          <w:rFonts w:ascii="仿宋" w:hAnsi="仿宋" w:eastAsia="仿宋" w:cs="仿宋"/>
          <w:sz w:val="28"/>
          <w:szCs w:val="28"/>
        </w:rPr>
      </w:pPr>
    </w:p>
    <w:p w14:paraId="349ED00D">
      <w:pPr>
        <w:adjustRightInd w:val="0"/>
        <w:snapToGrid w:val="0"/>
        <w:spacing w:line="360" w:lineRule="auto"/>
        <w:ind w:firstLine="560" w:firstLineChars="200"/>
        <w:rPr>
          <w:rFonts w:ascii="仿宋" w:hAnsi="仿宋" w:eastAsia="仿宋" w:cs="仿宋"/>
          <w:sz w:val="28"/>
          <w:szCs w:val="28"/>
        </w:rPr>
      </w:pPr>
    </w:p>
    <w:p w14:paraId="6971039D">
      <w:pPr>
        <w:adjustRightInd w:val="0"/>
        <w:snapToGrid w:val="0"/>
        <w:spacing w:line="360" w:lineRule="auto"/>
        <w:ind w:firstLine="560" w:firstLineChars="200"/>
        <w:rPr>
          <w:rFonts w:ascii="仿宋" w:hAnsi="仿宋" w:eastAsia="仿宋" w:cs="仿宋"/>
          <w:sz w:val="28"/>
          <w:szCs w:val="28"/>
        </w:rPr>
      </w:pPr>
    </w:p>
    <w:p w14:paraId="3750DF1E">
      <w:pPr>
        <w:adjustRightInd w:val="0"/>
        <w:snapToGrid w:val="0"/>
        <w:spacing w:line="360" w:lineRule="auto"/>
        <w:ind w:firstLine="560" w:firstLineChars="200"/>
        <w:jc w:val="center"/>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6</w:t>
      </w:r>
      <w:r>
        <w:rPr>
          <w:rFonts w:hint="eastAsia" w:ascii="仿宋" w:hAnsi="仿宋" w:eastAsia="仿宋" w:cs="仿宋"/>
          <w:sz w:val="28"/>
          <w:szCs w:val="28"/>
        </w:rPr>
        <w:t>日</w:t>
      </w:r>
      <w:bookmarkStart w:id="0" w:name="_Toc23494"/>
      <w:bookmarkStart w:id="1" w:name="_Toc291506254"/>
    </w:p>
    <w:p w14:paraId="5A9E6758">
      <w:pPr>
        <w:adjustRightInd w:val="0"/>
        <w:snapToGrid w:val="0"/>
        <w:spacing w:line="360" w:lineRule="auto"/>
        <w:jc w:val="both"/>
        <w:rPr>
          <w:rFonts w:ascii="仿宋" w:hAnsi="仿宋" w:eastAsia="仿宋" w:cs="仿宋"/>
          <w:sz w:val="28"/>
          <w:szCs w:val="28"/>
        </w:rPr>
      </w:pPr>
    </w:p>
    <w:p w14:paraId="4184A618">
      <w:pPr>
        <w:adjustRightInd w:val="0"/>
        <w:snapToGrid w:val="0"/>
        <w:spacing w:line="360" w:lineRule="auto"/>
        <w:ind w:firstLine="562" w:firstLineChars="200"/>
        <w:jc w:val="center"/>
        <w:rPr>
          <w:rFonts w:hint="eastAsia" w:ascii="仿宋" w:hAnsi="仿宋" w:eastAsia="仿宋" w:cs="仿宋"/>
          <w:b/>
          <w:bCs/>
          <w:sz w:val="28"/>
          <w:szCs w:val="28"/>
        </w:rPr>
      </w:pPr>
    </w:p>
    <w:p w14:paraId="6AAD37C7">
      <w:pPr>
        <w:adjustRightInd w:val="0"/>
        <w:snapToGrid w:val="0"/>
        <w:spacing w:line="360" w:lineRule="auto"/>
        <w:ind w:firstLine="562" w:firstLineChars="200"/>
        <w:jc w:val="center"/>
        <w:rPr>
          <w:rFonts w:hint="eastAsia" w:ascii="仿宋" w:hAnsi="仿宋" w:eastAsia="仿宋" w:cs="仿宋"/>
          <w:b/>
          <w:bCs/>
          <w:sz w:val="28"/>
          <w:szCs w:val="28"/>
        </w:rPr>
      </w:pPr>
    </w:p>
    <w:p w14:paraId="7996830E">
      <w:pPr>
        <w:adjustRightInd w:val="0"/>
        <w:snapToGrid w:val="0"/>
        <w:spacing w:line="360" w:lineRule="auto"/>
        <w:ind w:firstLine="562" w:firstLineChars="200"/>
        <w:jc w:val="center"/>
        <w:rPr>
          <w:rFonts w:hint="eastAsia" w:ascii="仿宋" w:hAnsi="仿宋" w:eastAsia="仿宋" w:cs="仿宋"/>
          <w:b/>
          <w:bCs/>
          <w:sz w:val="28"/>
          <w:szCs w:val="28"/>
        </w:rPr>
      </w:pPr>
    </w:p>
    <w:p w14:paraId="3C45FA82">
      <w:pPr>
        <w:adjustRightInd w:val="0"/>
        <w:snapToGrid w:val="0"/>
        <w:spacing w:line="360" w:lineRule="auto"/>
        <w:ind w:firstLine="562" w:firstLineChars="200"/>
        <w:jc w:val="center"/>
        <w:rPr>
          <w:rFonts w:hint="eastAsia" w:ascii="仿宋" w:hAnsi="仿宋" w:eastAsia="仿宋" w:cs="仿宋"/>
          <w:b/>
          <w:bCs/>
          <w:sz w:val="28"/>
          <w:szCs w:val="28"/>
        </w:rPr>
      </w:pPr>
    </w:p>
    <w:p w14:paraId="32EB0964">
      <w:pPr>
        <w:adjustRightInd w:val="0"/>
        <w:snapToGrid w:val="0"/>
        <w:spacing w:line="360" w:lineRule="auto"/>
        <w:ind w:firstLine="562" w:firstLineChars="200"/>
        <w:jc w:val="center"/>
        <w:rPr>
          <w:rFonts w:hint="eastAsia" w:ascii="仿宋" w:hAnsi="仿宋" w:eastAsia="仿宋" w:cs="仿宋"/>
          <w:b/>
          <w:bCs/>
          <w:sz w:val="28"/>
          <w:szCs w:val="28"/>
        </w:rPr>
      </w:pPr>
    </w:p>
    <w:p w14:paraId="4A4BACF6">
      <w:pPr>
        <w:adjustRightInd w:val="0"/>
        <w:snapToGrid w:val="0"/>
        <w:spacing w:line="360" w:lineRule="auto"/>
        <w:ind w:firstLine="562" w:firstLineChars="200"/>
        <w:jc w:val="center"/>
        <w:rPr>
          <w:rFonts w:hint="eastAsia" w:ascii="仿宋" w:hAnsi="仿宋" w:eastAsia="仿宋" w:cs="仿宋"/>
          <w:b/>
          <w:bCs/>
          <w:sz w:val="28"/>
          <w:szCs w:val="28"/>
        </w:rPr>
      </w:pPr>
    </w:p>
    <w:p w14:paraId="41211D43">
      <w:pPr>
        <w:adjustRightInd w:val="0"/>
        <w:snapToGrid w:val="0"/>
        <w:spacing w:line="360" w:lineRule="auto"/>
        <w:ind w:firstLine="562" w:firstLineChars="200"/>
        <w:jc w:val="center"/>
        <w:rPr>
          <w:rFonts w:ascii="仿宋" w:hAnsi="仿宋" w:eastAsia="仿宋" w:cs="仿宋"/>
          <w:sz w:val="28"/>
          <w:szCs w:val="28"/>
          <w:u w:val="single"/>
        </w:rPr>
      </w:pPr>
      <w:r>
        <w:rPr>
          <w:rFonts w:hint="eastAsia" w:ascii="仿宋" w:hAnsi="仿宋" w:eastAsia="仿宋" w:cs="仿宋"/>
          <w:b/>
          <w:bCs/>
          <w:sz w:val="28"/>
          <w:szCs w:val="28"/>
        </w:rPr>
        <w:t>第一章 询 价 函</w:t>
      </w:r>
    </w:p>
    <w:p w14:paraId="3194539A">
      <w:pPr>
        <w:adjustRightInd w:val="0"/>
        <w:snapToGrid w:val="0"/>
        <w:spacing w:line="360" w:lineRule="auto"/>
        <w:ind w:firstLine="560" w:firstLineChars="200"/>
        <w:rPr>
          <w:rFonts w:hint="eastAsia" w:ascii="仿宋" w:hAnsi="仿宋" w:eastAsia="仿宋" w:cs="仿宋"/>
          <w:sz w:val="28"/>
          <w:szCs w:val="28"/>
        </w:rPr>
      </w:pPr>
    </w:p>
    <w:p w14:paraId="0DA33805">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我公司就</w:t>
      </w:r>
      <w:r>
        <w:rPr>
          <w:rFonts w:hint="eastAsia" w:ascii="仿宋" w:hAnsi="仿宋" w:eastAsia="仿宋" w:cs="仿宋"/>
          <w:sz w:val="28"/>
          <w:szCs w:val="28"/>
          <w:u w:val="single"/>
          <w:lang w:val="en-US" w:eastAsia="zh-CN"/>
        </w:rPr>
        <w:t>棘洪滩泵站门窗改造工程</w:t>
      </w:r>
      <w:r>
        <w:rPr>
          <w:rFonts w:hint="eastAsia" w:ascii="仿宋" w:hAnsi="仿宋" w:eastAsia="仿宋" w:cs="仿宋"/>
          <w:sz w:val="28"/>
          <w:szCs w:val="28"/>
          <w:u w:val="single"/>
        </w:rPr>
        <w:t>采购</w:t>
      </w:r>
      <w:r>
        <w:rPr>
          <w:rFonts w:hint="eastAsia" w:ascii="仿宋" w:hAnsi="仿宋" w:eastAsia="仿宋" w:cs="仿宋"/>
          <w:sz w:val="28"/>
          <w:szCs w:val="28"/>
        </w:rPr>
        <w:t>以询</w:t>
      </w:r>
      <w:r>
        <w:rPr>
          <w:rFonts w:hint="eastAsia" w:ascii="仿宋" w:hAnsi="仿宋" w:eastAsia="仿宋" w:cs="仿宋"/>
          <w:sz w:val="28"/>
          <w:szCs w:val="28"/>
          <w:lang w:val="en-US" w:eastAsia="zh-CN"/>
        </w:rPr>
        <w:t>比</w:t>
      </w:r>
      <w:r>
        <w:rPr>
          <w:rFonts w:hint="eastAsia" w:ascii="仿宋" w:hAnsi="仿宋" w:eastAsia="仿宋" w:cs="仿宋"/>
          <w:sz w:val="28"/>
          <w:szCs w:val="28"/>
        </w:rPr>
        <w:t>价方式组织采购，欢迎你单位参加报价。</w:t>
      </w:r>
    </w:p>
    <w:p w14:paraId="6725A03C">
      <w:pPr>
        <w:numPr>
          <w:ilvl w:val="0"/>
          <w:numId w:val="2"/>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val="en-US" w:eastAsia="zh-CN"/>
        </w:rPr>
        <w:t>棘洪滩泵站门窗改造工程</w:t>
      </w:r>
    </w:p>
    <w:p w14:paraId="7A446EDD">
      <w:pPr>
        <w:numPr>
          <w:ilvl w:val="0"/>
          <w:numId w:val="2"/>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项目地点：青岛市</w:t>
      </w:r>
      <w:r>
        <w:rPr>
          <w:rFonts w:hint="eastAsia" w:ascii="仿宋" w:hAnsi="仿宋" w:eastAsia="仿宋" w:cs="仿宋"/>
          <w:sz w:val="28"/>
          <w:szCs w:val="28"/>
          <w:lang w:val="en-US" w:eastAsia="zh-CN"/>
        </w:rPr>
        <w:t>城阳区</w:t>
      </w:r>
    </w:p>
    <w:p w14:paraId="611B1AA2">
      <w:pPr>
        <w:numPr>
          <w:ilvl w:val="0"/>
          <w:numId w:val="2"/>
        </w:num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采购方式：询</w:t>
      </w:r>
      <w:r>
        <w:rPr>
          <w:rFonts w:hint="eastAsia" w:ascii="仿宋" w:hAnsi="仿宋" w:eastAsia="仿宋" w:cs="仿宋"/>
          <w:sz w:val="28"/>
          <w:szCs w:val="28"/>
          <w:lang w:val="en-US" w:eastAsia="zh-CN"/>
        </w:rPr>
        <w:t>比</w:t>
      </w:r>
      <w:r>
        <w:rPr>
          <w:rFonts w:hint="eastAsia" w:ascii="仿宋" w:hAnsi="仿宋" w:eastAsia="仿宋" w:cs="仿宋"/>
          <w:sz w:val="28"/>
          <w:szCs w:val="28"/>
        </w:rPr>
        <w:t>价采购</w:t>
      </w:r>
    </w:p>
    <w:p w14:paraId="5D0FA3B9">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四、定标方式：满足全部询价条件且总报价最低者中标</w:t>
      </w:r>
    </w:p>
    <w:p w14:paraId="348B966D">
      <w:pPr>
        <w:pageBreakBefore w:val="0"/>
        <w:shd w:val="clear"/>
        <w:kinsoku/>
        <w:wordWrap/>
        <w:overflowPunct/>
        <w:autoSpaceDE/>
        <w:autoSpaceDN/>
        <w:bidi w:val="0"/>
        <w:adjustRightInd w:val="0"/>
        <w:snapToGrid w:val="0"/>
        <w:spacing w:line="360" w:lineRule="auto"/>
        <w:ind w:firstLine="560" w:firstLineChars="200"/>
        <w:textAlignment w:val="auto"/>
        <w:rPr>
          <w:rFonts w:hint="eastAsia" w:ascii="仿宋" w:hAnsi="仿宋" w:eastAsia="仿宋" w:cs="仿宋"/>
          <w:b w:val="0"/>
          <w:bCs w:val="0"/>
          <w:sz w:val="28"/>
          <w:szCs w:val="28"/>
          <w:highlight w:val="none"/>
        </w:rPr>
      </w:pPr>
      <w:r>
        <w:rPr>
          <w:rFonts w:hint="eastAsia" w:ascii="仿宋" w:hAnsi="仿宋" w:eastAsia="仿宋" w:cs="仿宋"/>
          <w:sz w:val="28"/>
          <w:szCs w:val="28"/>
        </w:rPr>
        <w:t>五、</w:t>
      </w:r>
      <w:r>
        <w:rPr>
          <w:rFonts w:hint="eastAsia" w:ascii="仿宋" w:hAnsi="仿宋" w:eastAsia="仿宋" w:cs="仿宋"/>
          <w:b w:val="0"/>
          <w:bCs w:val="0"/>
          <w:sz w:val="28"/>
          <w:szCs w:val="28"/>
          <w:highlight w:val="none"/>
          <w:lang w:val="en-US" w:eastAsia="zh-CN"/>
        </w:rPr>
        <w:t>主要合同条款</w:t>
      </w:r>
      <w:r>
        <w:rPr>
          <w:rFonts w:hint="eastAsia" w:ascii="仿宋" w:hAnsi="仿宋" w:eastAsia="仿宋" w:cs="仿宋"/>
          <w:b w:val="0"/>
          <w:bCs w:val="0"/>
          <w:sz w:val="28"/>
          <w:szCs w:val="28"/>
          <w:highlight w:val="none"/>
        </w:rPr>
        <w:t>：</w:t>
      </w:r>
    </w:p>
    <w:p w14:paraId="32DA5E15">
      <w:pPr>
        <w:keepNext w:val="0"/>
        <w:keepLines w:val="0"/>
        <w:widowControl/>
        <w:suppressLineNumbers w:val="0"/>
        <w:spacing w:line="240" w:lineRule="auto"/>
        <w:ind w:firstLine="482" w:firstLineChars="200"/>
        <w:jc w:val="left"/>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1、工程主要内容：棘洪滩泵站门窗改造，详细方案见“第四章 施工方案及控制价清单”</w:t>
      </w:r>
    </w:p>
    <w:p w14:paraId="4B9601A7">
      <w:pPr>
        <w:keepNext w:val="0"/>
        <w:keepLines w:val="0"/>
        <w:widowControl/>
        <w:numPr>
          <w:ilvl w:val="0"/>
          <w:numId w:val="0"/>
        </w:numPr>
        <w:suppressLineNumbers w:val="0"/>
        <w:spacing w:line="240" w:lineRule="auto"/>
        <w:ind w:leftChars="20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 </w:t>
      </w:r>
    </w:p>
    <w:p w14:paraId="1461F6F8">
      <w:pPr>
        <w:keepNext w:val="0"/>
        <w:keepLines w:val="0"/>
        <w:widowControl/>
        <w:numPr>
          <w:ilvl w:val="0"/>
          <w:numId w:val="0"/>
        </w:numPr>
        <w:suppressLineNumbers w:val="0"/>
        <w:spacing w:line="240" w:lineRule="auto"/>
        <w:ind w:firstLine="482" w:firstLineChars="200"/>
        <w:jc w:val="left"/>
        <w:textAlignment w:val="center"/>
        <w:rPr>
          <w:rFonts w:hint="eastAsia" w:ascii="仿宋" w:hAnsi="仿宋" w:eastAsia="仿宋" w:cs="仿宋"/>
          <w:w w:val="95"/>
          <w:sz w:val="24"/>
          <w:szCs w:val="24"/>
          <w:lang w:val="zh-CN" w:bidi="zh-CN"/>
        </w:rPr>
      </w:pPr>
      <w:r>
        <w:rPr>
          <w:rFonts w:hint="eastAsia" w:ascii="仿宋" w:hAnsi="仿宋" w:eastAsia="仿宋" w:cs="仿宋"/>
          <w:b/>
          <w:bCs/>
          <w:sz w:val="24"/>
          <w:szCs w:val="24"/>
          <w:highlight w:val="none"/>
          <w:lang w:val="en-US" w:eastAsia="zh-CN"/>
        </w:rPr>
        <w:t>2、工程控制总价为人民币41486.76元，</w:t>
      </w:r>
      <w:r>
        <w:rPr>
          <w:rFonts w:hint="eastAsia" w:ascii="仿宋" w:hAnsi="仿宋" w:eastAsia="仿宋" w:cs="仿宋"/>
          <w:b w:val="0"/>
          <w:bCs w:val="0"/>
          <w:sz w:val="24"/>
          <w:szCs w:val="24"/>
          <w:highlight w:val="none"/>
          <w:lang w:val="en-US" w:eastAsia="zh-CN"/>
        </w:rPr>
        <w:t>大写人民币肆万壹仟肆佰捌拾陆元柒角陆分</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b w:val="0"/>
          <w:bCs w:val="0"/>
          <w:sz w:val="24"/>
          <w:szCs w:val="24"/>
          <w:highlight w:val="none"/>
          <w:lang w:val="en-US" w:eastAsia="zh-CN"/>
        </w:rPr>
        <w:t>详细造价清单详见第四章。按照施工方案报价，投标报价所有单价必须低于控制单价，总报价必须低于控制总价。</w:t>
      </w:r>
      <w:r>
        <w:rPr>
          <w:rFonts w:hint="eastAsia" w:ascii="仿宋" w:hAnsi="仿宋" w:eastAsia="仿宋" w:cs="仿宋"/>
          <w:spacing w:val="-2"/>
          <w:sz w:val="24"/>
          <w:szCs w:val="24"/>
          <w:lang w:val="en-US" w:eastAsia="zh-CN"/>
        </w:rPr>
        <w:t>投标</w:t>
      </w:r>
      <w:r>
        <w:rPr>
          <w:rFonts w:hint="eastAsia" w:ascii="仿宋" w:hAnsi="仿宋" w:eastAsia="仿宋" w:cs="仿宋"/>
          <w:spacing w:val="-2"/>
          <w:sz w:val="24"/>
          <w:szCs w:val="24"/>
        </w:rPr>
        <w:t>报价包括但不限于此</w:t>
      </w:r>
      <w:r>
        <w:rPr>
          <w:rFonts w:hint="eastAsia" w:ascii="仿宋" w:hAnsi="仿宋" w:eastAsia="仿宋" w:cs="仿宋"/>
          <w:spacing w:val="-2"/>
          <w:sz w:val="24"/>
          <w:szCs w:val="24"/>
          <w:lang w:val="en-US" w:eastAsia="zh-CN"/>
        </w:rPr>
        <w:t>工程</w:t>
      </w:r>
      <w:r>
        <w:rPr>
          <w:rFonts w:hint="eastAsia" w:ascii="仿宋" w:hAnsi="仿宋" w:eastAsia="仿宋" w:cs="仿宋"/>
          <w:spacing w:val="-2"/>
          <w:sz w:val="24"/>
          <w:szCs w:val="24"/>
        </w:rPr>
        <w:t>的</w:t>
      </w:r>
      <w:r>
        <w:rPr>
          <w:rFonts w:hint="eastAsia" w:ascii="仿宋" w:hAnsi="仿宋" w:eastAsia="仿宋" w:cs="仿宋"/>
          <w:w w:val="95"/>
          <w:sz w:val="24"/>
          <w:szCs w:val="24"/>
          <w:lang w:val="zh-CN" w:bidi="zh-CN"/>
        </w:rPr>
        <w:t>材料费、人工费、管理费、保险、包装费、装卸费、运输费、税金、利润等，</w:t>
      </w:r>
      <w:r>
        <w:rPr>
          <w:rFonts w:hint="eastAsia" w:ascii="仿宋" w:hAnsi="仿宋" w:eastAsia="仿宋" w:cs="仿宋"/>
          <w:w w:val="95"/>
          <w:sz w:val="24"/>
          <w:szCs w:val="24"/>
          <w:lang w:val="en-US" w:bidi="zh-CN"/>
        </w:rPr>
        <w:t>发票类型为</w:t>
      </w:r>
      <w:r>
        <w:rPr>
          <w:rFonts w:hint="eastAsia" w:ascii="仿宋" w:hAnsi="仿宋" w:eastAsia="仿宋" w:cs="仿宋"/>
          <w:color w:val="E54C5E" w:themeColor="accent6"/>
          <w:w w:val="95"/>
          <w:sz w:val="24"/>
          <w:szCs w:val="24"/>
          <w:lang w:val="en-US" w:bidi="zh-CN"/>
          <w14:textFill>
            <w14:solidFill>
              <w14:schemeClr w14:val="accent6"/>
            </w14:solidFill>
          </w14:textFill>
        </w:rPr>
        <w:t>9%普通发票</w:t>
      </w:r>
      <w:r>
        <w:rPr>
          <w:rFonts w:hint="eastAsia" w:ascii="仿宋" w:hAnsi="仿宋" w:eastAsia="仿宋" w:cs="仿宋"/>
          <w:w w:val="95"/>
          <w:sz w:val="24"/>
          <w:szCs w:val="24"/>
          <w:lang w:val="zh-CN" w:bidi="zh-CN"/>
        </w:rPr>
        <w:t>。</w:t>
      </w:r>
    </w:p>
    <w:p w14:paraId="574E38A6">
      <w:pPr>
        <w:pStyle w:val="6"/>
        <w:numPr>
          <w:ilvl w:val="0"/>
          <w:numId w:val="0"/>
        </w:numPr>
        <w:spacing w:before="217" w:line="240" w:lineRule="auto"/>
        <w:ind w:firstLine="480" w:firstLineChars="200"/>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b w:val="0"/>
          <w:bCs w:val="0"/>
          <w:kern w:val="2"/>
          <w:sz w:val="24"/>
          <w:szCs w:val="24"/>
          <w:highlight w:val="none"/>
          <w:lang w:val="en-US" w:eastAsia="zh-CN" w:bidi="ar-SA"/>
        </w:rPr>
        <w:t>3、质保条件：质保期2年，预留3%质保金，质保期满后无质量问题一次性无息付清。</w:t>
      </w:r>
    </w:p>
    <w:p w14:paraId="04489D2C">
      <w:pPr>
        <w:topLinePunct/>
        <w:adjustRightInd w:val="0"/>
        <w:snapToGrid w:val="0"/>
        <w:spacing w:line="360" w:lineRule="auto"/>
        <w:ind w:firstLine="472" w:firstLineChars="200"/>
        <w:rPr>
          <w:rFonts w:hint="eastAsia" w:ascii="仿宋" w:hAnsi="仿宋" w:eastAsia="仿宋" w:cs="仿宋"/>
          <w:spacing w:val="-2"/>
          <w:sz w:val="24"/>
          <w:szCs w:val="24"/>
          <w:highlight w:val="yellow"/>
          <w:lang w:eastAsia="zh-CN"/>
        </w:rPr>
      </w:pPr>
      <w:r>
        <w:rPr>
          <w:rFonts w:hint="eastAsia" w:ascii="仿宋" w:hAnsi="仿宋" w:eastAsia="仿宋" w:cs="仿宋"/>
          <w:spacing w:val="-2"/>
          <w:sz w:val="24"/>
          <w:szCs w:val="24"/>
          <w:highlight w:val="none"/>
          <w:lang w:val="en-US" w:eastAsia="zh-CN"/>
        </w:rPr>
        <w:t>4、</w:t>
      </w:r>
      <w:r>
        <w:rPr>
          <w:rFonts w:hint="eastAsia" w:ascii="仿宋" w:hAnsi="仿宋" w:eastAsia="仿宋" w:cs="仿宋"/>
          <w:spacing w:val="-2"/>
          <w:sz w:val="24"/>
          <w:szCs w:val="24"/>
          <w:highlight w:val="none"/>
        </w:rPr>
        <w:t>付款条件</w:t>
      </w:r>
      <w:r>
        <w:rPr>
          <w:rFonts w:hint="eastAsia" w:ascii="仿宋" w:hAnsi="仿宋" w:eastAsia="仿宋" w:cs="仿宋"/>
          <w:spacing w:val="-2"/>
          <w:sz w:val="24"/>
          <w:szCs w:val="24"/>
          <w:highlight w:val="none"/>
          <w:lang w:val="en-US" w:eastAsia="zh-CN"/>
        </w:rPr>
        <w:t>及方式</w:t>
      </w:r>
      <w:r>
        <w:rPr>
          <w:rFonts w:hint="eastAsia" w:ascii="仿宋" w:hAnsi="仿宋" w:eastAsia="仿宋" w:cs="仿宋"/>
          <w:spacing w:val="-2"/>
          <w:sz w:val="24"/>
          <w:szCs w:val="24"/>
          <w:highlight w:val="none"/>
        </w:rPr>
        <w:t>：</w:t>
      </w:r>
      <w:r>
        <w:rPr>
          <w:rFonts w:hint="eastAsia" w:ascii="仿宋" w:hAnsi="仿宋" w:eastAsia="仿宋" w:cs="仿宋"/>
          <w:spacing w:val="-2"/>
          <w:sz w:val="24"/>
          <w:szCs w:val="24"/>
          <w:highlight w:val="none"/>
          <w:lang w:val="en-US" w:eastAsia="zh-CN"/>
        </w:rPr>
        <w:t>工程验收合格并完成结算审计后半年内付至审计值的97％，</w:t>
      </w:r>
      <w:r>
        <w:rPr>
          <w:rFonts w:hint="eastAsia" w:ascii="仿宋" w:hAnsi="仿宋" w:eastAsia="仿宋" w:cs="仿宋"/>
          <w:b w:val="0"/>
          <w:bCs w:val="0"/>
          <w:kern w:val="2"/>
          <w:sz w:val="24"/>
          <w:szCs w:val="24"/>
          <w:highlight w:val="none"/>
          <w:lang w:val="en-US" w:eastAsia="zh-CN" w:bidi="ar-SA"/>
        </w:rPr>
        <w:t>采购人以网银转账汇款、承兑汇票等方式向中标人支付费用</w:t>
      </w:r>
      <w:r>
        <w:rPr>
          <w:rFonts w:hint="eastAsia" w:ascii="仿宋" w:hAnsi="仿宋" w:eastAsia="仿宋" w:cs="仿宋"/>
          <w:spacing w:val="-2"/>
          <w:sz w:val="24"/>
          <w:szCs w:val="24"/>
          <w:highlight w:val="none"/>
          <w:lang w:val="en-US" w:eastAsia="zh-CN"/>
        </w:rPr>
        <w:t>，余3％在质保期满后无质量问题</w:t>
      </w:r>
      <w:r>
        <w:rPr>
          <w:rFonts w:hint="eastAsia" w:ascii="仿宋" w:hAnsi="仿宋" w:eastAsia="仿宋" w:cs="仿宋"/>
          <w:spacing w:val="-2"/>
          <w:sz w:val="24"/>
          <w:szCs w:val="24"/>
          <w:highlight w:val="none"/>
        </w:rPr>
        <w:t>一次性无息付清</w:t>
      </w:r>
      <w:r>
        <w:rPr>
          <w:rFonts w:hint="eastAsia" w:ascii="仿宋" w:hAnsi="仿宋" w:eastAsia="仿宋" w:cs="仿宋"/>
          <w:spacing w:val="-2"/>
          <w:sz w:val="24"/>
          <w:szCs w:val="24"/>
          <w:highlight w:val="none"/>
          <w:lang w:eastAsia="zh-CN"/>
        </w:rPr>
        <w:t>。</w:t>
      </w:r>
    </w:p>
    <w:p w14:paraId="0F60EE6F">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六、投标资质</w:t>
      </w:r>
    </w:p>
    <w:p w14:paraId="054BE7D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独立法人，经营正常，依法纳税，符合《中华人民共和国政府采购法》规定的供应商条件且具备相应设备生产资质或委托代理资质。投标供应商须提供以下资料，每项资料必须加盖公章：</w:t>
      </w:r>
    </w:p>
    <w:p w14:paraId="608571C8">
      <w:pPr>
        <w:numPr>
          <w:ilvl w:val="0"/>
          <w:numId w:val="3"/>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营业执照副本复印件；</w:t>
      </w:r>
    </w:p>
    <w:p w14:paraId="171AEF9A">
      <w:pPr>
        <w:numPr>
          <w:ilvl w:val="0"/>
          <w:numId w:val="3"/>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缴纳税收证明资料（近一个月）完税证明或增值税申报表；</w:t>
      </w:r>
    </w:p>
    <w:p w14:paraId="539E7580">
      <w:pPr>
        <w:numPr>
          <w:ilvl w:val="0"/>
          <w:numId w:val="3"/>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上年度纳税信用等级B级（含）以上，新注册企业M级；</w:t>
      </w:r>
    </w:p>
    <w:p w14:paraId="63598D43">
      <w:pPr>
        <w:numPr>
          <w:ilvl w:val="0"/>
          <w:numId w:val="3"/>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缴纳社会保险证明资料（近一个月）；</w:t>
      </w:r>
    </w:p>
    <w:p w14:paraId="7B29D824">
      <w:pPr>
        <w:numPr>
          <w:ilvl w:val="0"/>
          <w:numId w:val="3"/>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rPr>
        <w:t>法定代表人身份证明或者法定代表人授权委托书；</w:t>
      </w:r>
    </w:p>
    <w:p w14:paraId="70BC8F72">
      <w:pPr>
        <w:numPr>
          <w:ilvl w:val="0"/>
          <w:numId w:val="3"/>
        </w:numPr>
        <w:adjustRightInd w:val="0"/>
        <w:snapToGrid w:val="0"/>
        <w:spacing w:line="360" w:lineRule="auto"/>
        <w:ind w:firstLine="560"/>
        <w:rPr>
          <w:rFonts w:ascii="仿宋" w:hAnsi="仿宋" w:eastAsia="仿宋" w:cs="仿宋"/>
          <w:sz w:val="24"/>
          <w:szCs w:val="24"/>
        </w:rPr>
      </w:pPr>
      <w:r>
        <w:rPr>
          <w:rFonts w:hint="eastAsia" w:ascii="仿宋" w:hAnsi="仿宋" w:eastAsia="仿宋" w:cs="仿宋"/>
          <w:sz w:val="24"/>
          <w:szCs w:val="24"/>
          <w:lang w:val="en-US" w:eastAsia="zh-CN"/>
        </w:rPr>
        <w:t>安全施工许可资质</w:t>
      </w:r>
      <w:r>
        <w:rPr>
          <w:rFonts w:hint="eastAsia" w:ascii="仿宋" w:hAnsi="仿宋" w:eastAsia="仿宋" w:cs="仿宋"/>
          <w:sz w:val="24"/>
          <w:szCs w:val="24"/>
        </w:rPr>
        <w:t>。</w:t>
      </w:r>
    </w:p>
    <w:p w14:paraId="152F5792">
      <w:pPr>
        <w:numPr>
          <w:ilvl w:val="0"/>
          <w:numId w:val="3"/>
        </w:numPr>
        <w:adjustRightInd w:val="0"/>
        <w:snapToGrid w:val="0"/>
        <w:spacing w:line="360" w:lineRule="auto"/>
        <w:ind w:firstLine="560"/>
        <w:rPr>
          <w:rFonts w:hint="eastAsia" w:ascii="仿宋" w:hAnsi="仿宋" w:eastAsia="仿宋" w:cs="仿宋"/>
          <w:sz w:val="24"/>
          <w:szCs w:val="24"/>
        </w:rPr>
      </w:pPr>
      <w:r>
        <w:rPr>
          <w:rFonts w:hint="eastAsia" w:ascii="仿宋" w:hAnsi="仿宋" w:eastAsia="仿宋" w:cs="仿宋"/>
          <w:bCs/>
          <w:sz w:val="24"/>
          <w:szCs w:val="24"/>
        </w:rPr>
        <w:t>投标承诺函</w:t>
      </w:r>
    </w:p>
    <w:p w14:paraId="4902EFF3">
      <w:pPr>
        <w:numPr>
          <w:ilvl w:val="0"/>
          <w:numId w:val="3"/>
        </w:numPr>
        <w:adjustRightInd w:val="0"/>
        <w:snapToGrid w:val="0"/>
        <w:spacing w:line="360" w:lineRule="auto"/>
        <w:ind w:firstLine="560"/>
        <w:rPr>
          <w:rFonts w:ascii="仿宋" w:hAnsi="仿宋" w:eastAsia="仿宋" w:cs="仿宋"/>
          <w:color w:val="FF0000"/>
          <w:sz w:val="24"/>
          <w:szCs w:val="24"/>
        </w:rPr>
      </w:pPr>
      <w:r>
        <w:rPr>
          <w:rFonts w:hint="eastAsia" w:ascii="仿宋" w:hAnsi="仿宋" w:eastAsia="仿宋" w:cs="仿宋"/>
          <w:bCs/>
          <w:color w:val="FF0000"/>
          <w:sz w:val="24"/>
          <w:szCs w:val="24"/>
        </w:rPr>
        <w:t>参与项目的业绩明细</w:t>
      </w:r>
    </w:p>
    <w:p w14:paraId="4F821EF1">
      <w:pPr>
        <w:numPr>
          <w:ilvl w:val="0"/>
          <w:numId w:val="3"/>
        </w:numPr>
        <w:adjustRightInd w:val="0"/>
        <w:snapToGrid w:val="0"/>
        <w:spacing w:line="360" w:lineRule="auto"/>
        <w:ind w:firstLine="560"/>
        <w:rPr>
          <w:rFonts w:hint="eastAsia" w:ascii="仿宋" w:hAnsi="仿宋" w:eastAsia="仿宋" w:cs="仿宋"/>
          <w:bCs/>
          <w:color w:val="FF0000"/>
          <w:sz w:val="24"/>
          <w:szCs w:val="24"/>
        </w:rPr>
      </w:pPr>
      <w:r>
        <w:rPr>
          <w:rFonts w:hint="eastAsia" w:ascii="仿宋" w:hAnsi="仿宋" w:eastAsia="仿宋" w:cs="仿宋"/>
          <w:bCs/>
          <w:color w:val="FF0000"/>
          <w:sz w:val="24"/>
          <w:szCs w:val="24"/>
          <w:lang w:val="en-US" w:eastAsia="zh-CN"/>
        </w:rPr>
        <w:t>施工单位需为施工人员缴纳社会保险和人身意外险</w:t>
      </w:r>
    </w:p>
    <w:p w14:paraId="392A85D1">
      <w:pPr>
        <w:numPr>
          <w:ilvl w:val="0"/>
          <w:numId w:val="4"/>
        </w:num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采购公告发布</w:t>
      </w:r>
      <w:r>
        <w:rPr>
          <w:rFonts w:hint="eastAsia" w:ascii="仿宋" w:hAnsi="仿宋" w:eastAsia="仿宋" w:cs="仿宋"/>
          <w:sz w:val="24"/>
          <w:szCs w:val="24"/>
        </w:rPr>
        <w:t>：由采购部门通过</w:t>
      </w:r>
      <w:r>
        <w:rPr>
          <w:rFonts w:hint="eastAsia" w:ascii="仿宋" w:hAnsi="仿宋" w:eastAsia="仿宋" w:cs="仿宋"/>
          <w:sz w:val="24"/>
          <w:szCs w:val="24"/>
          <w:lang w:val="en-US" w:eastAsia="zh-CN"/>
        </w:rPr>
        <w:t>公司网站发布</w:t>
      </w:r>
    </w:p>
    <w:p w14:paraId="4EDA7181">
      <w:pPr>
        <w:numPr>
          <w:ilvl w:val="0"/>
          <w:numId w:val="4"/>
        </w:num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投标规定</w:t>
      </w:r>
    </w:p>
    <w:p w14:paraId="2F79724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1、投标截止：投标文件必须在202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18</w:t>
      </w:r>
      <w:bookmarkStart w:id="89" w:name="_GoBack"/>
      <w:bookmarkEnd w:id="89"/>
      <w:r>
        <w:rPr>
          <w:rFonts w:hint="eastAsia" w:ascii="仿宋" w:hAnsi="仿宋" w:eastAsia="仿宋" w:cs="仿宋"/>
          <w:sz w:val="24"/>
          <w:szCs w:val="24"/>
        </w:rPr>
        <w:t>日前送达，超过截止时间的投标将被拒绝。</w:t>
      </w:r>
    </w:p>
    <w:p w14:paraId="164FB5BB">
      <w:pPr>
        <w:numPr>
          <w:ilvl w:val="0"/>
          <w:numId w:val="4"/>
        </w:num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采购项目联系人姓名和电话：</w:t>
      </w:r>
    </w:p>
    <w:p w14:paraId="37F6EBA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 购 人：青岛碧海水务有限公司</w:t>
      </w:r>
    </w:p>
    <w:p w14:paraId="33888A3D">
      <w:pPr>
        <w:adjustRightInd w:val="0"/>
        <w:snapToGrid w:val="0"/>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联 系 人：</w:t>
      </w:r>
      <w:r>
        <w:rPr>
          <w:rFonts w:hint="eastAsia" w:ascii="仿宋" w:hAnsi="仿宋" w:eastAsia="仿宋" w:cs="仿宋"/>
          <w:sz w:val="24"/>
          <w:szCs w:val="24"/>
          <w:lang w:val="en-US" w:eastAsia="zh-CN"/>
        </w:rPr>
        <w:t>薛煦</w:t>
      </w:r>
    </w:p>
    <w:p w14:paraId="0C62FAE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lang w:val="en-US" w:eastAsia="zh-CN"/>
        </w:rPr>
        <w:t>17657151567</w:t>
      </w:r>
      <w:r>
        <w:rPr>
          <w:rFonts w:hint="eastAsia" w:ascii="仿宋" w:hAnsi="仿宋" w:eastAsia="仿宋" w:cs="仿宋"/>
          <w:sz w:val="24"/>
          <w:szCs w:val="24"/>
        </w:rPr>
        <w:t xml:space="preserve"> </w:t>
      </w:r>
    </w:p>
    <w:p w14:paraId="1464048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    址：青岛市黄岛区淮河西路167号</w:t>
      </w:r>
    </w:p>
    <w:p w14:paraId="5328E066">
      <w:pPr>
        <w:adjustRightInd w:val="0"/>
        <w:snapToGrid w:val="0"/>
        <w:spacing w:line="360" w:lineRule="auto"/>
        <w:ind w:firstLine="560" w:firstLineChars="200"/>
        <w:rPr>
          <w:rFonts w:ascii="仿宋" w:hAnsi="仿宋" w:eastAsia="仿宋" w:cs="仿宋"/>
          <w:sz w:val="28"/>
          <w:szCs w:val="28"/>
        </w:rPr>
      </w:pPr>
    </w:p>
    <w:p w14:paraId="2444433C">
      <w:pPr>
        <w:adjustRightInd w:val="0"/>
        <w:snapToGrid w:val="0"/>
        <w:spacing w:line="360" w:lineRule="auto"/>
        <w:rPr>
          <w:rFonts w:ascii="仿宋" w:hAnsi="仿宋" w:eastAsia="仿宋" w:cs="仿宋"/>
          <w:sz w:val="24"/>
        </w:rPr>
      </w:pPr>
    </w:p>
    <w:p w14:paraId="648D025D">
      <w:pPr>
        <w:adjustRightInd w:val="0"/>
        <w:snapToGrid w:val="0"/>
        <w:spacing w:line="360" w:lineRule="auto"/>
        <w:rPr>
          <w:rFonts w:ascii="仿宋" w:hAnsi="仿宋" w:eastAsia="仿宋" w:cs="仿宋"/>
          <w:sz w:val="24"/>
        </w:rPr>
      </w:pPr>
    </w:p>
    <w:p w14:paraId="1B3F394C">
      <w:pPr>
        <w:adjustRightInd w:val="0"/>
        <w:snapToGrid w:val="0"/>
        <w:spacing w:line="360" w:lineRule="auto"/>
        <w:rPr>
          <w:rFonts w:ascii="仿宋" w:hAnsi="仿宋" w:eastAsia="仿宋" w:cs="仿宋"/>
          <w:sz w:val="24"/>
        </w:rPr>
      </w:pPr>
    </w:p>
    <w:p w14:paraId="4ED03007">
      <w:pPr>
        <w:adjustRightInd w:val="0"/>
        <w:snapToGrid w:val="0"/>
        <w:spacing w:line="360" w:lineRule="auto"/>
        <w:rPr>
          <w:rFonts w:ascii="仿宋" w:hAnsi="仿宋" w:eastAsia="仿宋" w:cs="仿宋"/>
          <w:sz w:val="24"/>
        </w:rPr>
      </w:pPr>
    </w:p>
    <w:p w14:paraId="4637B112">
      <w:pPr>
        <w:adjustRightInd w:val="0"/>
        <w:snapToGrid w:val="0"/>
        <w:spacing w:line="360" w:lineRule="auto"/>
        <w:rPr>
          <w:rFonts w:ascii="仿宋" w:hAnsi="仿宋" w:eastAsia="仿宋" w:cs="仿宋"/>
          <w:sz w:val="24"/>
        </w:rPr>
      </w:pPr>
    </w:p>
    <w:p w14:paraId="0229D0EC">
      <w:pPr>
        <w:adjustRightInd w:val="0"/>
        <w:snapToGrid w:val="0"/>
        <w:spacing w:line="360" w:lineRule="auto"/>
        <w:rPr>
          <w:rFonts w:ascii="仿宋" w:hAnsi="仿宋" w:eastAsia="仿宋" w:cs="仿宋"/>
          <w:sz w:val="24"/>
        </w:rPr>
      </w:pPr>
    </w:p>
    <w:p w14:paraId="3B6F4E74">
      <w:pPr>
        <w:adjustRightInd w:val="0"/>
        <w:snapToGrid w:val="0"/>
        <w:spacing w:line="360" w:lineRule="auto"/>
        <w:rPr>
          <w:rFonts w:ascii="仿宋" w:hAnsi="仿宋" w:eastAsia="仿宋" w:cs="仿宋"/>
          <w:sz w:val="24"/>
        </w:rPr>
      </w:pPr>
    </w:p>
    <w:p w14:paraId="5F879CDB">
      <w:pPr>
        <w:adjustRightInd w:val="0"/>
        <w:snapToGrid w:val="0"/>
        <w:spacing w:line="360" w:lineRule="auto"/>
        <w:rPr>
          <w:rFonts w:ascii="仿宋" w:hAnsi="仿宋" w:eastAsia="仿宋" w:cs="仿宋"/>
          <w:sz w:val="24"/>
        </w:rPr>
      </w:pPr>
    </w:p>
    <w:p w14:paraId="59354E1F">
      <w:pPr>
        <w:adjustRightInd w:val="0"/>
        <w:snapToGrid w:val="0"/>
        <w:spacing w:line="360" w:lineRule="auto"/>
        <w:rPr>
          <w:rFonts w:ascii="仿宋" w:hAnsi="仿宋" w:eastAsia="仿宋" w:cs="仿宋"/>
          <w:sz w:val="24"/>
        </w:rPr>
      </w:pPr>
    </w:p>
    <w:p w14:paraId="433BE604">
      <w:pPr>
        <w:adjustRightInd w:val="0"/>
        <w:snapToGrid w:val="0"/>
        <w:spacing w:line="360" w:lineRule="auto"/>
        <w:rPr>
          <w:rFonts w:ascii="仿宋" w:hAnsi="仿宋" w:eastAsia="仿宋" w:cs="仿宋"/>
          <w:sz w:val="24"/>
        </w:rPr>
      </w:pPr>
    </w:p>
    <w:p w14:paraId="6D0AC0A4">
      <w:pPr>
        <w:adjustRightInd w:val="0"/>
        <w:snapToGrid w:val="0"/>
        <w:spacing w:line="360" w:lineRule="auto"/>
        <w:rPr>
          <w:rFonts w:ascii="仿宋" w:hAnsi="仿宋" w:eastAsia="仿宋" w:cs="仿宋"/>
          <w:sz w:val="24"/>
        </w:rPr>
      </w:pPr>
    </w:p>
    <w:p w14:paraId="69DCE703">
      <w:pPr>
        <w:adjustRightInd w:val="0"/>
        <w:snapToGrid w:val="0"/>
        <w:spacing w:line="360" w:lineRule="auto"/>
        <w:rPr>
          <w:rFonts w:ascii="仿宋" w:hAnsi="仿宋" w:eastAsia="仿宋" w:cs="仿宋"/>
          <w:sz w:val="24"/>
        </w:rPr>
      </w:pPr>
    </w:p>
    <w:p w14:paraId="59BB3E79">
      <w:pPr>
        <w:adjustRightInd w:val="0"/>
        <w:snapToGrid w:val="0"/>
        <w:spacing w:line="360" w:lineRule="auto"/>
        <w:rPr>
          <w:rFonts w:ascii="仿宋" w:hAnsi="仿宋" w:eastAsia="仿宋" w:cs="仿宋"/>
          <w:sz w:val="24"/>
        </w:rPr>
      </w:pPr>
    </w:p>
    <w:p w14:paraId="67F4DE70">
      <w:pPr>
        <w:adjustRightInd w:val="0"/>
        <w:snapToGrid w:val="0"/>
        <w:spacing w:line="360" w:lineRule="auto"/>
        <w:rPr>
          <w:rFonts w:ascii="仿宋" w:hAnsi="仿宋" w:eastAsia="仿宋" w:cs="仿宋"/>
          <w:sz w:val="24"/>
        </w:rPr>
      </w:pPr>
    </w:p>
    <w:p w14:paraId="503C2AE3">
      <w:pPr>
        <w:adjustRightInd w:val="0"/>
        <w:snapToGrid w:val="0"/>
        <w:spacing w:line="360" w:lineRule="auto"/>
        <w:rPr>
          <w:rFonts w:ascii="仿宋" w:hAnsi="仿宋" w:eastAsia="仿宋" w:cs="仿宋"/>
          <w:sz w:val="24"/>
        </w:rPr>
      </w:pPr>
    </w:p>
    <w:p w14:paraId="05AC21EC">
      <w:pPr>
        <w:adjustRightInd w:val="0"/>
        <w:snapToGrid w:val="0"/>
        <w:spacing w:line="360" w:lineRule="auto"/>
        <w:rPr>
          <w:rFonts w:ascii="仿宋" w:hAnsi="仿宋" w:eastAsia="仿宋" w:cs="仿宋"/>
          <w:sz w:val="24"/>
        </w:rPr>
      </w:pPr>
    </w:p>
    <w:p w14:paraId="0AFFF3CD">
      <w:pPr>
        <w:adjustRightInd w:val="0"/>
        <w:snapToGrid w:val="0"/>
        <w:spacing w:line="360" w:lineRule="auto"/>
        <w:rPr>
          <w:rFonts w:ascii="仿宋" w:hAnsi="仿宋" w:eastAsia="仿宋" w:cs="仿宋"/>
          <w:sz w:val="24"/>
        </w:rPr>
      </w:pPr>
    </w:p>
    <w:p w14:paraId="788BBF22">
      <w:pPr>
        <w:adjustRightInd w:val="0"/>
        <w:snapToGrid w:val="0"/>
        <w:spacing w:line="360" w:lineRule="auto"/>
        <w:rPr>
          <w:rFonts w:ascii="仿宋" w:hAnsi="仿宋" w:eastAsia="仿宋" w:cs="仿宋"/>
          <w:sz w:val="24"/>
        </w:rPr>
      </w:pPr>
    </w:p>
    <w:p w14:paraId="1C643731">
      <w:pPr>
        <w:adjustRightInd w:val="0"/>
        <w:snapToGrid w:val="0"/>
        <w:spacing w:line="360" w:lineRule="auto"/>
        <w:ind w:firstLine="480" w:firstLineChars="200"/>
        <w:rPr>
          <w:rFonts w:ascii="仿宋" w:hAnsi="仿宋" w:eastAsia="仿宋" w:cs="仿宋"/>
          <w:sz w:val="24"/>
        </w:rPr>
      </w:pPr>
    </w:p>
    <w:p w14:paraId="6C9B49A2">
      <w:pPr>
        <w:adjustRightInd w:val="0"/>
        <w:snapToGrid w:val="0"/>
        <w:spacing w:line="360" w:lineRule="auto"/>
        <w:ind w:firstLine="480" w:firstLineChars="200"/>
        <w:rPr>
          <w:rFonts w:ascii="仿宋" w:hAnsi="仿宋" w:eastAsia="仿宋" w:cs="仿宋"/>
          <w:sz w:val="24"/>
        </w:rPr>
      </w:pPr>
    </w:p>
    <w:p w14:paraId="4AE6FD4D">
      <w:pPr>
        <w:adjustRightInd w:val="0"/>
        <w:snapToGrid w:val="0"/>
        <w:spacing w:line="360" w:lineRule="auto"/>
        <w:ind w:firstLine="480" w:firstLineChars="200"/>
        <w:rPr>
          <w:rFonts w:ascii="仿宋" w:hAnsi="仿宋" w:eastAsia="仿宋" w:cs="仿宋"/>
          <w:sz w:val="24"/>
        </w:rPr>
      </w:pPr>
    </w:p>
    <w:p w14:paraId="3605C436">
      <w:pPr>
        <w:adjustRightInd w:val="0"/>
        <w:snapToGrid w:val="0"/>
        <w:spacing w:line="360" w:lineRule="auto"/>
        <w:ind w:firstLine="480" w:firstLineChars="200"/>
        <w:rPr>
          <w:rFonts w:ascii="仿宋" w:hAnsi="仿宋" w:eastAsia="仿宋" w:cs="仿宋"/>
          <w:sz w:val="24"/>
        </w:rPr>
      </w:pPr>
    </w:p>
    <w:p w14:paraId="44B05977">
      <w:pPr>
        <w:adjustRightInd w:val="0"/>
        <w:snapToGrid w:val="0"/>
        <w:spacing w:line="360" w:lineRule="auto"/>
        <w:ind w:firstLine="480" w:firstLineChars="200"/>
        <w:rPr>
          <w:rFonts w:ascii="仿宋" w:hAnsi="仿宋" w:eastAsia="仿宋" w:cs="仿宋"/>
          <w:sz w:val="24"/>
        </w:rPr>
      </w:pPr>
    </w:p>
    <w:p w14:paraId="68A825BF">
      <w:pPr>
        <w:adjustRightInd w:val="0"/>
        <w:snapToGrid w:val="0"/>
        <w:spacing w:line="360" w:lineRule="auto"/>
        <w:ind w:firstLine="480" w:firstLineChars="200"/>
        <w:rPr>
          <w:rFonts w:ascii="仿宋" w:hAnsi="仿宋" w:eastAsia="仿宋" w:cs="仿宋"/>
          <w:sz w:val="24"/>
        </w:rPr>
      </w:pPr>
    </w:p>
    <w:p w14:paraId="3B2179CE">
      <w:pPr>
        <w:adjustRightInd w:val="0"/>
        <w:snapToGrid w:val="0"/>
        <w:spacing w:line="360" w:lineRule="auto"/>
        <w:ind w:firstLine="480" w:firstLineChars="200"/>
        <w:rPr>
          <w:rFonts w:ascii="仿宋" w:hAnsi="仿宋" w:eastAsia="仿宋" w:cs="仿宋"/>
          <w:sz w:val="24"/>
        </w:rPr>
      </w:pPr>
    </w:p>
    <w:p w14:paraId="2CD5B714">
      <w:pPr>
        <w:adjustRightInd w:val="0"/>
        <w:snapToGrid w:val="0"/>
        <w:spacing w:line="360" w:lineRule="auto"/>
        <w:ind w:firstLine="480" w:firstLineChars="200"/>
        <w:rPr>
          <w:rFonts w:ascii="仿宋" w:hAnsi="仿宋" w:eastAsia="仿宋" w:cs="仿宋"/>
          <w:sz w:val="24"/>
        </w:rPr>
      </w:pPr>
    </w:p>
    <w:p w14:paraId="2B762420">
      <w:pPr>
        <w:adjustRightInd w:val="0"/>
        <w:snapToGrid w:val="0"/>
        <w:spacing w:line="360" w:lineRule="auto"/>
        <w:ind w:firstLine="480" w:firstLineChars="200"/>
        <w:rPr>
          <w:rFonts w:ascii="仿宋" w:hAnsi="仿宋" w:eastAsia="仿宋" w:cs="仿宋"/>
          <w:sz w:val="24"/>
        </w:rPr>
      </w:pPr>
    </w:p>
    <w:p w14:paraId="6C84D981">
      <w:pPr>
        <w:adjustRightInd w:val="0"/>
        <w:snapToGrid w:val="0"/>
        <w:spacing w:line="360" w:lineRule="auto"/>
        <w:ind w:firstLine="480" w:firstLineChars="200"/>
        <w:rPr>
          <w:rFonts w:ascii="仿宋" w:hAnsi="仿宋" w:eastAsia="仿宋" w:cs="仿宋"/>
          <w:sz w:val="24"/>
        </w:rPr>
      </w:pPr>
    </w:p>
    <w:p w14:paraId="37E89EBA">
      <w:pPr>
        <w:adjustRightInd w:val="0"/>
        <w:snapToGrid w:val="0"/>
        <w:spacing w:line="360" w:lineRule="auto"/>
        <w:ind w:firstLine="480" w:firstLineChars="200"/>
        <w:rPr>
          <w:rFonts w:ascii="仿宋" w:hAnsi="仿宋" w:eastAsia="仿宋" w:cs="仿宋"/>
          <w:sz w:val="24"/>
        </w:rPr>
      </w:pPr>
    </w:p>
    <w:p w14:paraId="715CDB48">
      <w:pPr>
        <w:adjustRightInd w:val="0"/>
        <w:snapToGrid w:val="0"/>
        <w:spacing w:line="360" w:lineRule="auto"/>
        <w:ind w:firstLine="480" w:firstLineChars="200"/>
        <w:rPr>
          <w:rFonts w:ascii="仿宋" w:hAnsi="仿宋" w:eastAsia="仿宋" w:cs="仿宋"/>
          <w:sz w:val="24"/>
        </w:rPr>
      </w:pPr>
    </w:p>
    <w:p w14:paraId="540D4F64">
      <w:pPr>
        <w:numPr>
          <w:ilvl w:val="0"/>
          <w:numId w:val="5"/>
        </w:numPr>
        <w:adjustRightInd w:val="0"/>
        <w:snapToGrid w:val="0"/>
        <w:spacing w:line="360" w:lineRule="auto"/>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投标须知</w:t>
      </w:r>
      <w:bookmarkEnd w:id="0"/>
      <w:bookmarkEnd w:id="1"/>
      <w:bookmarkStart w:id="2" w:name="_Toc291506255"/>
      <w:bookmarkStart w:id="3" w:name="_Toc24773"/>
      <w:bookmarkStart w:id="4" w:name="_Toc227423102"/>
    </w:p>
    <w:p w14:paraId="2F35FB32">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一、说明</w:t>
      </w:r>
      <w:bookmarkEnd w:id="2"/>
      <w:bookmarkEnd w:id="3"/>
      <w:bookmarkEnd w:id="4"/>
    </w:p>
    <w:p w14:paraId="0A94A01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（一）适用范围：本文件仅适用于本投标邀请中所述的采购项目。</w:t>
      </w:r>
    </w:p>
    <w:p w14:paraId="21148D6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（二）定义</w:t>
      </w:r>
    </w:p>
    <w:p w14:paraId="18AC7E2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1.“采购人”系指青岛碧海水务有限公司。</w:t>
      </w:r>
    </w:p>
    <w:p w14:paraId="3919827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2.“投标人”系指向采购人提交投标文件的供应商。</w:t>
      </w:r>
    </w:p>
    <w:p w14:paraId="1DE0BFE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3.“中标人”系指被确定为承接本项目并负责其实施的投标人。</w:t>
      </w:r>
    </w:p>
    <w:p w14:paraId="57198F4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（三）投标人应具备的条件</w:t>
      </w:r>
    </w:p>
    <w:p w14:paraId="3E4E1A7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1.满足询价邀请中的资质规定。</w:t>
      </w:r>
    </w:p>
    <w:p w14:paraId="26EFDDD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2.投标工程/服务符合国家规定的技术标准和环保标准。</w:t>
      </w:r>
    </w:p>
    <w:p w14:paraId="0FF7CD2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3.满足本文件规定的要求。</w:t>
      </w:r>
    </w:p>
    <w:p w14:paraId="1703987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（四）联合体投标：本项目不接受联合体投标。</w:t>
      </w:r>
    </w:p>
    <w:p w14:paraId="6D192AA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（五）投标有效期：从开标之日起，投标文件有效期为60天。投标有效期不足的，其投标无效。</w:t>
      </w:r>
    </w:p>
    <w:p w14:paraId="21BF350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（六）本文件的澄清、修改</w:t>
      </w:r>
    </w:p>
    <w:p w14:paraId="4766E62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1.投标人收到本文件时，应进行检查；如认为采购文件存在不合理条款，公告时间及程序不符合规定的，应及时告知采购人澄清或处理。否则，由投标人自行承担所造成的不良后果。</w:t>
      </w:r>
    </w:p>
    <w:p w14:paraId="6302472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2.根据投标人提出的问题，采购人确定是否需统一召开标前踏勘及答疑会；如统一召开，将通知所有被邀请的投标人参加。</w:t>
      </w:r>
    </w:p>
    <w:p w14:paraId="64D744C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3.采购人对本文件进行必要澄清或修改的，应当在投标截止时间前，并以书面形式通知所有被邀请的供应商。该澄清或修改的内容为本文件的组成部分。</w:t>
      </w:r>
    </w:p>
    <w:p w14:paraId="69174CBA">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（七）投标费用：无论投标结果如何，投标人自行承担所有与投标有关的全部费用。</w:t>
      </w:r>
    </w:p>
    <w:p w14:paraId="6FB19867">
      <w:pPr>
        <w:adjustRightInd w:val="0"/>
        <w:snapToGrid w:val="0"/>
        <w:spacing w:line="360" w:lineRule="auto"/>
        <w:ind w:firstLine="480" w:firstLineChars="200"/>
        <w:rPr>
          <w:rFonts w:ascii="仿宋" w:hAnsi="仿宋" w:eastAsia="仿宋" w:cs="仿宋"/>
          <w:sz w:val="24"/>
          <w:szCs w:val="24"/>
        </w:rPr>
      </w:pPr>
      <w:bookmarkStart w:id="5" w:name="_Toc227423103"/>
      <w:bookmarkStart w:id="6" w:name="_Toc14721"/>
      <w:bookmarkStart w:id="7" w:name="_Toc291506256"/>
      <w:r>
        <w:rPr>
          <w:rFonts w:hint="eastAsia" w:ascii="仿宋" w:hAnsi="仿宋" w:eastAsia="仿宋" w:cs="仿宋"/>
          <w:sz w:val="24"/>
          <w:szCs w:val="24"/>
        </w:rPr>
        <w:t>二、投标文件的编写</w:t>
      </w:r>
      <w:bookmarkEnd w:id="5"/>
      <w:bookmarkEnd w:id="6"/>
      <w:bookmarkEnd w:id="7"/>
    </w:p>
    <w:p w14:paraId="4A9F20E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（一）一般要求</w:t>
      </w:r>
    </w:p>
    <w:p w14:paraId="6D87DEC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1.投标人应仔细阅读本文件的所有内容，按本文件的要求编制投标文件，并保证所提供的全部资料真实有效。</w:t>
      </w:r>
    </w:p>
    <w:p w14:paraId="459CB62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2.投标文件的书面内容不得有加行、涂抹或改写。</w:t>
      </w:r>
    </w:p>
    <w:p w14:paraId="0700236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3.投标文件应当采用书面方式；招标采购单位不接受电报、电话、传真投标。</w:t>
      </w:r>
    </w:p>
    <w:p w14:paraId="4FE40A49">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（二）投标文件的组成</w:t>
      </w:r>
    </w:p>
    <w:p w14:paraId="7AE29821">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1.投标文件应包括的内容详见本文件“第</w:t>
      </w:r>
      <w:r>
        <w:rPr>
          <w:rFonts w:hint="eastAsia" w:ascii="仿宋" w:hAnsi="仿宋" w:eastAsia="仿宋" w:cs="仿宋"/>
          <w:sz w:val="24"/>
          <w:szCs w:val="24"/>
          <w:lang w:val="en-US" w:eastAsia="zh-CN"/>
        </w:rPr>
        <w:t>五</w:t>
      </w:r>
      <w:r>
        <w:rPr>
          <w:rFonts w:hint="eastAsia" w:ascii="仿宋" w:hAnsi="仿宋" w:eastAsia="仿宋" w:cs="仿宋"/>
          <w:sz w:val="24"/>
          <w:szCs w:val="24"/>
        </w:rPr>
        <w:t>章投标文件编制”。</w:t>
      </w:r>
    </w:p>
    <w:p w14:paraId="27E6A41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2.除本文件另有规定外，计量单位为我国法定计量单位。</w:t>
      </w:r>
    </w:p>
    <w:p w14:paraId="3962F051">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（三）投标报价</w:t>
      </w:r>
    </w:p>
    <w:p w14:paraId="22A393D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1.投标人应按本文件提出的采购范围、内容及要求进行报价。</w:t>
      </w:r>
    </w:p>
    <w:p w14:paraId="377E259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2.除本文件另有规定外，投标报价为含税价（增值税普通发票）。</w:t>
      </w:r>
    </w:p>
    <w:p w14:paraId="069C1A25">
      <w:pPr>
        <w:adjustRightInd w:val="0"/>
        <w:snapToGrid w:val="0"/>
        <w:spacing w:line="360" w:lineRule="auto"/>
        <w:ind w:firstLine="480" w:firstLineChars="200"/>
        <w:rPr>
          <w:rFonts w:ascii="仿宋" w:hAnsi="仿宋" w:eastAsia="仿宋" w:cs="仿宋"/>
          <w:sz w:val="24"/>
          <w:szCs w:val="24"/>
        </w:rPr>
      </w:pPr>
      <w:bookmarkStart w:id="8" w:name="_Toc15890"/>
      <w:bookmarkStart w:id="9" w:name="_Toc291506257"/>
      <w:bookmarkStart w:id="10" w:name="_Toc227423920"/>
      <w:r>
        <w:rPr>
          <w:rFonts w:hint="eastAsia" w:ascii="仿宋" w:hAnsi="仿宋" w:eastAsia="仿宋" w:cs="仿宋"/>
          <w:sz w:val="24"/>
          <w:szCs w:val="24"/>
        </w:rPr>
        <w:t>三、投标文件的递交</w:t>
      </w:r>
      <w:bookmarkEnd w:id="8"/>
      <w:bookmarkEnd w:id="9"/>
      <w:bookmarkEnd w:id="10"/>
    </w:p>
    <w:p w14:paraId="0E6563B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1.投标文件的送达：投标文件应在投标截止时间前送达采购单位。</w:t>
      </w:r>
    </w:p>
    <w:p w14:paraId="5DA57D3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2.投标截止时间前，投标人可对所递交的投标文件进行补充、修改或撤回。</w:t>
      </w:r>
    </w:p>
    <w:p w14:paraId="06F0437E">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3.投标人补充、修改或撤回时，须向招标采购单位出示加盖公章、经法人代表或授权代表（需出示有关证明）签字的函件。</w:t>
      </w:r>
    </w:p>
    <w:p w14:paraId="09B4969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4.补充、修改的内容应当按照本文件的规定签署盖章，并密封。</w:t>
      </w:r>
    </w:p>
    <w:p w14:paraId="083A46AF">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5.补充、修改文件是投标文件的组成部分。</w:t>
      </w:r>
    </w:p>
    <w:p w14:paraId="00FE31C8">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6.投标截止后，投标人不得补充、修改或撤回投标文件；但可以在开标前出示加盖公章、经法人代表或授权代表（需出示有关证明）签字的函件通知放弃投标。</w:t>
      </w:r>
    </w:p>
    <w:p w14:paraId="08013D6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四、采购人成立采购评审小组独立履行下列职责：</w:t>
      </w:r>
    </w:p>
    <w:p w14:paraId="329BA96A">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（一）审查投标文件是否符合本采购文件要求；</w:t>
      </w:r>
    </w:p>
    <w:p w14:paraId="1B77AE8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（二）确定中标供应商。</w:t>
      </w:r>
    </w:p>
    <w:p w14:paraId="11A25595">
      <w:pPr>
        <w:adjustRightInd w:val="0"/>
        <w:snapToGrid w:val="0"/>
        <w:spacing w:line="360" w:lineRule="auto"/>
        <w:ind w:firstLine="415" w:firstLineChars="173"/>
        <w:rPr>
          <w:rFonts w:ascii="仿宋" w:hAnsi="仿宋" w:eastAsia="仿宋" w:cs="仿宋"/>
          <w:sz w:val="24"/>
          <w:szCs w:val="24"/>
        </w:rPr>
      </w:pPr>
      <w:r>
        <w:rPr>
          <w:rFonts w:hint="eastAsia" w:ascii="仿宋" w:hAnsi="仿宋" w:eastAsia="仿宋" w:cs="仿宋"/>
          <w:sz w:val="24"/>
          <w:szCs w:val="24"/>
        </w:rPr>
        <w:t>五、投标人有下列情形之一的，视为无效投标。</w:t>
      </w:r>
    </w:p>
    <w:p w14:paraId="2390A54B">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（一）超出营业执照经营范围投标的；</w:t>
      </w:r>
    </w:p>
    <w:p w14:paraId="4FF58B0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（二）投标文件不符合采购文件要求的；</w:t>
      </w:r>
    </w:p>
    <w:p w14:paraId="04551321">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（三）投标文件与事实不符的；</w:t>
      </w:r>
    </w:p>
    <w:p w14:paraId="465B11EA">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（四）经采购评审小组一致认定为重大偏离的；</w:t>
      </w:r>
    </w:p>
    <w:p w14:paraId="07CE3B2F">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 xml:space="preserve">   （五）不符合法律、法规有关规定的。</w:t>
      </w:r>
      <w:r>
        <w:rPr>
          <w:rFonts w:hint="eastAsia" w:ascii="仿宋" w:hAnsi="仿宋" w:eastAsia="仿宋" w:cs="仿宋"/>
          <w:sz w:val="24"/>
          <w:szCs w:val="24"/>
        </w:rPr>
        <w:tab/>
      </w:r>
    </w:p>
    <w:p w14:paraId="679A1CF3">
      <w:pPr>
        <w:adjustRightInd w:val="0"/>
        <w:snapToGrid w:val="0"/>
        <w:spacing w:line="360" w:lineRule="auto"/>
        <w:ind w:firstLine="480" w:firstLineChars="200"/>
        <w:rPr>
          <w:rFonts w:ascii="仿宋" w:hAnsi="仿宋" w:eastAsia="仿宋" w:cs="仿宋"/>
          <w:sz w:val="24"/>
          <w:szCs w:val="24"/>
        </w:rPr>
      </w:pPr>
      <w:bookmarkStart w:id="11" w:name="_Toc7133"/>
      <w:bookmarkStart w:id="12" w:name="_Toc227423923"/>
      <w:r>
        <w:rPr>
          <w:rFonts w:hint="eastAsia" w:ascii="仿宋" w:hAnsi="仿宋" w:eastAsia="仿宋" w:cs="仿宋"/>
          <w:sz w:val="24"/>
          <w:szCs w:val="24"/>
        </w:rPr>
        <w:t>六、评标方法及标准</w:t>
      </w:r>
      <w:bookmarkEnd w:id="11"/>
      <w:bookmarkEnd w:id="12"/>
    </w:p>
    <w:p w14:paraId="45DE9783">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（一）评标方法：最底价中标。</w:t>
      </w:r>
    </w:p>
    <w:p w14:paraId="6830FB90">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（二）评标标准：以下2项条件同时满足者中标：</w:t>
      </w:r>
    </w:p>
    <w:p w14:paraId="0788690B">
      <w:pPr>
        <w:numPr>
          <w:ilvl w:val="0"/>
          <w:numId w:val="6"/>
        </w:num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满足所有询价条件；</w:t>
      </w:r>
    </w:p>
    <w:p w14:paraId="4F7F95D9">
      <w:pPr>
        <w:numPr>
          <w:ilvl w:val="0"/>
          <w:numId w:val="6"/>
        </w:num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报价最低者。</w:t>
      </w:r>
    </w:p>
    <w:p w14:paraId="6D2125BE">
      <w:pPr>
        <w:adjustRightInd w:val="0"/>
        <w:snapToGrid w:val="0"/>
        <w:spacing w:line="360" w:lineRule="auto"/>
        <w:ind w:firstLine="480" w:firstLineChars="200"/>
        <w:rPr>
          <w:rFonts w:ascii="仿宋" w:hAnsi="仿宋" w:eastAsia="仿宋" w:cs="仿宋"/>
          <w:sz w:val="24"/>
          <w:szCs w:val="24"/>
        </w:rPr>
      </w:pPr>
      <w:bookmarkStart w:id="13" w:name="_Toc227423924"/>
      <w:bookmarkStart w:id="14" w:name="_Toc2364"/>
      <w:bookmarkStart w:id="15" w:name="_Toc291506261"/>
      <w:r>
        <w:rPr>
          <w:rFonts w:hint="eastAsia" w:ascii="仿宋" w:hAnsi="仿宋" w:eastAsia="仿宋" w:cs="仿宋"/>
          <w:sz w:val="24"/>
          <w:szCs w:val="24"/>
        </w:rPr>
        <w:t>七、中标及合同签订</w:t>
      </w:r>
      <w:bookmarkEnd w:id="13"/>
      <w:bookmarkEnd w:id="14"/>
      <w:bookmarkEnd w:id="15"/>
    </w:p>
    <w:p w14:paraId="6C0A90D7">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（一）中标通知</w:t>
      </w:r>
    </w:p>
    <w:p w14:paraId="17E73DD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1.评标结束，确定中标人后，采购人将结果通知被邀请投标人。</w:t>
      </w:r>
    </w:p>
    <w:p w14:paraId="363D90B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2.招标采购单位不向落标的投标人解释落标原因，不退还投标文件。</w:t>
      </w:r>
    </w:p>
    <w:p w14:paraId="22F678D6">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3.中标人有下列情形之一的，中标无效：</w:t>
      </w:r>
    </w:p>
    <w:p w14:paraId="3E76C196">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（1）中标后无正当理由不与采购人签订合同，或者与采购人另行订立背离合同实质性内容的协议的；</w:t>
      </w:r>
    </w:p>
    <w:p w14:paraId="668A0E7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（2）将中标项目转让给他人，或者在投标文件中未说明，且未经采购人同意，将中标项目分包给他人的；</w:t>
      </w:r>
    </w:p>
    <w:p w14:paraId="3F2077C8">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（3）拒绝履行合同义务的。</w:t>
      </w:r>
    </w:p>
    <w:p w14:paraId="5C0B34A4">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（二）合同签订</w:t>
      </w:r>
    </w:p>
    <w:p w14:paraId="1239339D">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1.签订合同前，采购人可对中标人的投标文件（含答复、补充文件）进行真实性查验，凡有虚假的，其中标无效，并依据有关规定给予违法违规处理。</w:t>
      </w:r>
    </w:p>
    <w:p w14:paraId="259323AB">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2.采购人在中标通知书发布之日起30日内，与中标人按范本格式制作并签订采购合同。项目数量增减、合同条款变更等按采购人相关规定另行签订补充合同。</w:t>
      </w:r>
    </w:p>
    <w:p w14:paraId="22356C95">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3.本文件（含补充、修改文件）、中标人的投标文件（含答复、补充文件）均为签订采购合同的依据。</w:t>
      </w:r>
    </w:p>
    <w:p w14:paraId="1FB51EFC">
      <w:pPr>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4.中标人因不可抗力或自身原因不能签订采购合同或者不能履行合同的，采购人重新进行采购。</w:t>
      </w:r>
    </w:p>
    <w:p w14:paraId="7DBD55C4">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5.合同履行中，根据实际需求，采购人需追加采购合同标的之外的项目，可与中标供应商就费用进行协商谈判后，签订补充协议。</w:t>
      </w:r>
    </w:p>
    <w:p w14:paraId="2A6A7ABE">
      <w:pPr>
        <w:topLinePunct/>
        <w:adjustRightInd w:val="0"/>
        <w:snapToGrid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八、其他商务条件</w:t>
      </w:r>
    </w:p>
    <w:p w14:paraId="506FA997">
      <w:pPr>
        <w:pageBreakBefore w:val="0"/>
        <w:numPr>
          <w:ilvl w:val="0"/>
          <w:numId w:val="0"/>
        </w:numPr>
        <w:shd w:val="clear"/>
        <w:kinsoku/>
        <w:wordWrap/>
        <w:overflowPunct/>
        <w:topLinePunct/>
        <w:autoSpaceDE/>
        <w:autoSpaceDN/>
        <w:bidi w:val="0"/>
        <w:adjustRightInd w:val="0"/>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sz w:val="24"/>
          <w:szCs w:val="24"/>
          <w:lang w:val="en-US" w:eastAsia="zh-CN"/>
        </w:rPr>
        <w:t>工</w:t>
      </w:r>
      <w:r>
        <w:rPr>
          <w:rFonts w:hint="eastAsia" w:ascii="仿宋" w:hAnsi="仿宋" w:eastAsia="仿宋" w:cs="仿宋"/>
          <w:sz w:val="24"/>
          <w:szCs w:val="24"/>
        </w:rPr>
        <w:t>期：合同签订后</w:t>
      </w:r>
      <w:r>
        <w:rPr>
          <w:rFonts w:hint="eastAsia" w:ascii="仿宋" w:hAnsi="仿宋" w:eastAsia="仿宋" w:cs="仿宋"/>
          <w:sz w:val="24"/>
          <w:szCs w:val="24"/>
          <w:lang w:val="en-US" w:eastAsia="zh-CN"/>
        </w:rPr>
        <w:t>30</w:t>
      </w:r>
      <w:r>
        <w:rPr>
          <w:rFonts w:hint="eastAsia" w:ascii="仿宋" w:hAnsi="仿宋" w:eastAsia="仿宋" w:cs="仿宋"/>
          <w:sz w:val="24"/>
          <w:szCs w:val="24"/>
        </w:rPr>
        <w:t>天内完成。</w:t>
      </w:r>
    </w:p>
    <w:p w14:paraId="075300E2">
      <w:pPr>
        <w:pageBreakBefore w:val="0"/>
        <w:numPr>
          <w:ilvl w:val="0"/>
          <w:numId w:val="0"/>
        </w:numPr>
        <w:shd w:val="clear"/>
        <w:kinsoku/>
        <w:wordWrap/>
        <w:overflowPunct/>
        <w:topLinePunct/>
        <w:autoSpaceDE/>
        <w:autoSpaceDN/>
        <w:bidi w:val="0"/>
        <w:adjustRightInd w:val="0"/>
        <w:snapToGrid w:val="0"/>
        <w:spacing w:line="360" w:lineRule="auto"/>
        <w:ind w:firstLine="482" w:firstLineChars="200"/>
        <w:textAlignment w:val="auto"/>
        <w:rPr>
          <w:rFonts w:ascii="仿宋" w:hAnsi="仿宋" w:eastAsia="仿宋" w:cs="仿宋"/>
          <w:b/>
          <w:bCs/>
          <w:color w:val="FF0000"/>
          <w:sz w:val="24"/>
          <w:szCs w:val="24"/>
          <w:highlight w:val="none"/>
        </w:rPr>
      </w:pPr>
      <w:r>
        <w:rPr>
          <w:rFonts w:hint="eastAsia" w:ascii="仿宋" w:hAnsi="仿宋" w:eastAsia="仿宋" w:cs="仿宋"/>
          <w:b/>
          <w:bCs/>
          <w:color w:val="FF0000"/>
          <w:sz w:val="24"/>
          <w:szCs w:val="24"/>
          <w:lang w:eastAsia="zh-CN"/>
        </w:rPr>
        <w:t>（</w:t>
      </w:r>
      <w:r>
        <w:rPr>
          <w:rFonts w:hint="eastAsia" w:ascii="仿宋" w:hAnsi="仿宋" w:eastAsia="仿宋" w:cs="仿宋"/>
          <w:b/>
          <w:bCs/>
          <w:color w:val="FF0000"/>
          <w:sz w:val="24"/>
          <w:szCs w:val="24"/>
          <w:lang w:val="en-US" w:eastAsia="zh-CN"/>
        </w:rPr>
        <w:t>二</w:t>
      </w:r>
      <w:r>
        <w:rPr>
          <w:rFonts w:hint="eastAsia" w:ascii="仿宋" w:hAnsi="仿宋" w:eastAsia="仿宋" w:cs="仿宋"/>
          <w:b/>
          <w:bCs/>
          <w:color w:val="FF0000"/>
          <w:sz w:val="24"/>
          <w:szCs w:val="24"/>
          <w:lang w:eastAsia="zh-CN"/>
        </w:rPr>
        <w:t>）</w:t>
      </w:r>
      <w:r>
        <w:rPr>
          <w:rFonts w:hint="eastAsia" w:ascii="仿宋" w:hAnsi="仿宋" w:eastAsia="仿宋" w:cs="仿宋"/>
          <w:b/>
          <w:bCs/>
          <w:color w:val="FF0000"/>
          <w:sz w:val="24"/>
          <w:szCs w:val="24"/>
          <w:highlight w:val="none"/>
        </w:rPr>
        <w:t>安全</w:t>
      </w:r>
      <w:r>
        <w:rPr>
          <w:rFonts w:hint="eastAsia" w:ascii="仿宋" w:hAnsi="仿宋" w:eastAsia="仿宋" w:cs="仿宋"/>
          <w:b/>
          <w:bCs/>
          <w:color w:val="FF0000"/>
          <w:sz w:val="24"/>
          <w:szCs w:val="24"/>
          <w:highlight w:val="none"/>
          <w:lang w:val="en-US" w:eastAsia="zh-CN"/>
        </w:rPr>
        <w:t>施工</w:t>
      </w:r>
      <w:r>
        <w:rPr>
          <w:rFonts w:hint="eastAsia" w:ascii="仿宋" w:hAnsi="仿宋" w:eastAsia="仿宋" w:cs="仿宋"/>
          <w:b/>
          <w:bCs/>
          <w:color w:val="FF0000"/>
          <w:sz w:val="24"/>
          <w:szCs w:val="24"/>
          <w:highlight w:val="none"/>
        </w:rPr>
        <w:t>管理要求：</w:t>
      </w:r>
    </w:p>
    <w:p w14:paraId="353FB059">
      <w:pPr>
        <w:pageBreakBefore w:val="0"/>
        <w:numPr>
          <w:ilvl w:val="0"/>
          <w:numId w:val="0"/>
        </w:numPr>
        <w:shd w:val="clear"/>
        <w:kinsoku/>
        <w:wordWrap/>
        <w:overflowPunct/>
        <w:topLinePunct/>
        <w:autoSpaceDE/>
        <w:autoSpaceDN/>
        <w:bidi w:val="0"/>
        <w:adjustRightInd w:val="0"/>
        <w:snapToGrid w:val="0"/>
        <w:spacing w:line="360" w:lineRule="auto"/>
        <w:ind w:firstLine="482" w:firstLineChars="200"/>
        <w:textAlignment w:val="auto"/>
        <w:rPr>
          <w:rFonts w:ascii="仿宋" w:hAnsi="仿宋" w:eastAsia="仿宋" w:cs="仿宋"/>
          <w:b/>
          <w:bCs/>
          <w:color w:val="FF0000"/>
          <w:sz w:val="24"/>
          <w:szCs w:val="24"/>
          <w:highlight w:val="none"/>
        </w:rPr>
      </w:pPr>
      <w:r>
        <w:rPr>
          <w:rFonts w:hint="eastAsia" w:ascii="仿宋" w:hAnsi="仿宋" w:eastAsia="仿宋" w:cs="仿宋"/>
          <w:b/>
          <w:bCs/>
          <w:color w:val="FF0000"/>
          <w:sz w:val="24"/>
          <w:szCs w:val="24"/>
          <w:highlight w:val="none"/>
          <w:lang w:val="en-US" w:eastAsia="zh-CN"/>
        </w:rPr>
        <w:t>1.</w:t>
      </w:r>
      <w:r>
        <w:rPr>
          <w:rFonts w:hint="eastAsia" w:ascii="仿宋" w:hAnsi="仿宋" w:eastAsia="仿宋" w:cs="仿宋"/>
          <w:b/>
          <w:bCs/>
          <w:color w:val="FF0000"/>
          <w:sz w:val="24"/>
          <w:szCs w:val="24"/>
          <w:highlight w:val="none"/>
        </w:rPr>
        <w:t>签订合</w:t>
      </w:r>
      <w:r>
        <w:rPr>
          <w:rFonts w:hint="eastAsia" w:ascii="仿宋" w:hAnsi="仿宋" w:eastAsia="仿宋" w:cs="仿宋"/>
          <w:b/>
          <w:bCs/>
          <w:color w:val="FF0000"/>
          <w:sz w:val="24"/>
          <w:szCs w:val="24"/>
          <w:highlight w:val="none"/>
          <w:lang w:val="en-US" w:eastAsia="zh-CN"/>
        </w:rPr>
        <w:t>的</w:t>
      </w:r>
      <w:r>
        <w:rPr>
          <w:rFonts w:hint="eastAsia" w:ascii="仿宋" w:hAnsi="仿宋" w:eastAsia="仿宋" w:cs="仿宋"/>
          <w:b/>
          <w:bCs/>
          <w:color w:val="FF0000"/>
          <w:sz w:val="24"/>
          <w:szCs w:val="24"/>
          <w:highlight w:val="none"/>
        </w:rPr>
        <w:t>同时，中标</w:t>
      </w:r>
      <w:r>
        <w:rPr>
          <w:rFonts w:hint="eastAsia" w:ascii="仿宋" w:hAnsi="仿宋" w:eastAsia="仿宋" w:cs="仿宋"/>
          <w:b/>
          <w:bCs/>
          <w:color w:val="FF0000"/>
          <w:sz w:val="24"/>
          <w:szCs w:val="24"/>
          <w:highlight w:val="none"/>
          <w:lang w:val="en-US" w:eastAsia="zh-CN"/>
        </w:rPr>
        <w:t>供应商</w:t>
      </w:r>
      <w:r>
        <w:rPr>
          <w:rFonts w:hint="eastAsia" w:ascii="仿宋" w:hAnsi="仿宋" w:eastAsia="仿宋" w:cs="仿宋"/>
          <w:b/>
          <w:bCs/>
          <w:color w:val="FF0000"/>
          <w:sz w:val="24"/>
          <w:szCs w:val="24"/>
          <w:highlight w:val="none"/>
        </w:rPr>
        <w:t>必须与采购人</w:t>
      </w:r>
      <w:r>
        <w:rPr>
          <w:rFonts w:hint="eastAsia" w:ascii="仿宋" w:hAnsi="仿宋" w:eastAsia="仿宋" w:cs="仿宋"/>
          <w:b/>
          <w:bCs/>
          <w:color w:val="FF0000"/>
          <w:sz w:val="24"/>
          <w:szCs w:val="24"/>
          <w:highlight w:val="none"/>
          <w:lang w:val="en-US" w:eastAsia="zh-CN"/>
        </w:rPr>
        <w:t>的安全管理部门</w:t>
      </w:r>
      <w:r>
        <w:rPr>
          <w:rFonts w:hint="eastAsia" w:ascii="仿宋" w:hAnsi="仿宋" w:eastAsia="仿宋" w:cs="仿宋"/>
          <w:b/>
          <w:bCs/>
          <w:color w:val="FF0000"/>
          <w:sz w:val="24"/>
          <w:szCs w:val="24"/>
          <w:highlight w:val="none"/>
        </w:rPr>
        <w:t>同时签订安全</w:t>
      </w:r>
      <w:r>
        <w:rPr>
          <w:rFonts w:hint="eastAsia" w:ascii="仿宋" w:hAnsi="仿宋" w:eastAsia="仿宋" w:cs="仿宋"/>
          <w:b/>
          <w:bCs/>
          <w:color w:val="FF0000"/>
          <w:sz w:val="24"/>
          <w:szCs w:val="24"/>
          <w:highlight w:val="none"/>
          <w:lang w:val="en-US" w:eastAsia="zh-CN"/>
        </w:rPr>
        <w:t>施工</w:t>
      </w:r>
      <w:r>
        <w:rPr>
          <w:rFonts w:hint="eastAsia" w:ascii="仿宋" w:hAnsi="仿宋" w:eastAsia="仿宋" w:cs="仿宋"/>
          <w:b/>
          <w:bCs/>
          <w:color w:val="FF0000"/>
          <w:sz w:val="24"/>
          <w:szCs w:val="24"/>
          <w:highlight w:val="none"/>
        </w:rPr>
        <w:t>协议书，保证安全施工；</w:t>
      </w:r>
    </w:p>
    <w:p w14:paraId="755A5097">
      <w:pPr>
        <w:topLinePunct/>
        <w:adjustRightInd w:val="0"/>
        <w:snapToGrid w:val="0"/>
        <w:spacing w:line="360" w:lineRule="auto"/>
        <w:ind w:firstLine="482" w:firstLineChars="200"/>
        <w:rPr>
          <w:rFonts w:ascii="仿宋" w:hAnsi="仿宋" w:eastAsia="仿宋" w:cs="仿宋"/>
          <w:b/>
          <w:bCs/>
          <w:color w:val="FF0000"/>
          <w:sz w:val="24"/>
          <w:szCs w:val="24"/>
        </w:rPr>
      </w:pPr>
      <w:r>
        <w:rPr>
          <w:rFonts w:hint="eastAsia" w:ascii="仿宋" w:hAnsi="仿宋" w:eastAsia="仿宋" w:cs="仿宋"/>
          <w:b/>
          <w:bCs/>
          <w:color w:val="FF0000"/>
          <w:sz w:val="24"/>
          <w:szCs w:val="24"/>
          <w:highlight w:val="none"/>
          <w:lang w:val="en-US" w:eastAsia="zh-CN"/>
        </w:rPr>
        <w:t>2.</w:t>
      </w:r>
      <w:r>
        <w:rPr>
          <w:rFonts w:hint="eastAsia" w:ascii="仿宋" w:hAnsi="仿宋" w:eastAsia="仿宋" w:cs="仿宋"/>
          <w:b/>
          <w:bCs/>
          <w:color w:val="FF0000"/>
          <w:sz w:val="24"/>
          <w:szCs w:val="24"/>
          <w:highlight w:val="none"/>
        </w:rPr>
        <w:t>中标</w:t>
      </w:r>
      <w:r>
        <w:rPr>
          <w:rFonts w:hint="eastAsia" w:ascii="仿宋" w:hAnsi="仿宋" w:eastAsia="仿宋" w:cs="仿宋"/>
          <w:b/>
          <w:bCs/>
          <w:color w:val="FF0000"/>
          <w:sz w:val="24"/>
          <w:szCs w:val="24"/>
          <w:highlight w:val="none"/>
          <w:lang w:val="en-US" w:eastAsia="zh-CN"/>
        </w:rPr>
        <w:t>供应商</w:t>
      </w:r>
      <w:r>
        <w:rPr>
          <w:rFonts w:hint="eastAsia" w:ascii="仿宋" w:hAnsi="仿宋" w:eastAsia="仿宋" w:cs="仿宋"/>
          <w:b/>
          <w:bCs/>
          <w:color w:val="FF0000"/>
          <w:sz w:val="24"/>
          <w:szCs w:val="24"/>
          <w:highlight w:val="none"/>
        </w:rPr>
        <w:t>必须给每次进场的施工人员购买人身意外保险</w:t>
      </w:r>
      <w:r>
        <w:rPr>
          <w:rFonts w:hint="eastAsia" w:ascii="仿宋" w:hAnsi="仿宋" w:eastAsia="仿宋" w:cs="仿宋"/>
          <w:b/>
          <w:bCs/>
          <w:color w:val="FF0000"/>
          <w:sz w:val="24"/>
          <w:szCs w:val="24"/>
          <w:highlight w:val="none"/>
          <w:lang w:val="en-US" w:eastAsia="zh-CN"/>
        </w:rPr>
        <w:t>或社保</w:t>
      </w:r>
      <w:r>
        <w:rPr>
          <w:rFonts w:hint="eastAsia" w:ascii="仿宋" w:hAnsi="仿宋" w:eastAsia="仿宋" w:cs="仿宋"/>
          <w:b/>
          <w:bCs/>
          <w:color w:val="FF0000"/>
          <w:sz w:val="24"/>
          <w:szCs w:val="24"/>
          <w:highlight w:val="none"/>
        </w:rPr>
        <w:t>；所有施工人员须遵守文明安全施工的有关规章制度，包括但不限于第三章《安全施工操作规程》的内容，且持证上岗；施工过程中的发生安全事故由中标人承担。</w:t>
      </w:r>
    </w:p>
    <w:p w14:paraId="0C1E9D50">
      <w:pPr>
        <w:topLinePunct/>
        <w:adjustRightInd w:val="0"/>
        <w:snapToGrid w:val="0"/>
        <w:spacing w:line="360" w:lineRule="auto"/>
        <w:ind w:firstLine="482" w:firstLineChars="200"/>
        <w:rPr>
          <w:rFonts w:ascii="仿宋" w:hAnsi="仿宋" w:eastAsia="仿宋" w:cs="仿宋"/>
          <w:b/>
          <w:bCs/>
          <w:color w:val="FF0000"/>
          <w:sz w:val="24"/>
          <w:szCs w:val="24"/>
        </w:rPr>
      </w:pPr>
      <w:r>
        <w:rPr>
          <w:rFonts w:hint="eastAsia" w:ascii="仿宋" w:hAnsi="仿宋" w:eastAsia="仿宋" w:cs="仿宋"/>
          <w:b/>
          <w:bCs/>
          <w:color w:val="FF0000"/>
          <w:sz w:val="24"/>
          <w:szCs w:val="24"/>
        </w:rPr>
        <w:t>（</w:t>
      </w:r>
      <w:r>
        <w:rPr>
          <w:rFonts w:hint="eastAsia" w:ascii="仿宋" w:hAnsi="仿宋" w:eastAsia="仿宋" w:cs="仿宋"/>
          <w:b/>
          <w:bCs/>
          <w:color w:val="FF0000"/>
          <w:sz w:val="24"/>
          <w:szCs w:val="24"/>
          <w:lang w:val="en-US" w:eastAsia="zh-CN"/>
        </w:rPr>
        <w:t>三</w:t>
      </w:r>
      <w:r>
        <w:rPr>
          <w:rFonts w:hint="eastAsia" w:ascii="仿宋" w:hAnsi="仿宋" w:eastAsia="仿宋" w:cs="仿宋"/>
          <w:b/>
          <w:bCs/>
          <w:color w:val="FF0000"/>
          <w:sz w:val="24"/>
          <w:szCs w:val="24"/>
        </w:rPr>
        <w:t>）验收：</w:t>
      </w:r>
      <w:r>
        <w:rPr>
          <w:rFonts w:hint="eastAsia" w:ascii="仿宋" w:hAnsi="仿宋" w:eastAsia="仿宋" w:cs="仿宋"/>
          <w:b/>
          <w:bCs/>
          <w:color w:val="FF0000"/>
          <w:sz w:val="24"/>
          <w:szCs w:val="24"/>
          <w:lang w:val="en-US" w:eastAsia="zh-CN"/>
        </w:rPr>
        <w:t>工程完工后</w:t>
      </w:r>
      <w:r>
        <w:rPr>
          <w:rFonts w:hint="eastAsia" w:ascii="仿宋" w:hAnsi="仿宋" w:eastAsia="仿宋" w:cs="仿宋"/>
          <w:b/>
          <w:bCs/>
          <w:color w:val="FF0000"/>
          <w:sz w:val="24"/>
          <w:szCs w:val="24"/>
        </w:rPr>
        <w:t>，采购人对</w:t>
      </w:r>
      <w:r>
        <w:rPr>
          <w:rFonts w:hint="eastAsia" w:ascii="仿宋" w:hAnsi="仿宋" w:eastAsia="仿宋" w:cs="仿宋"/>
          <w:b/>
          <w:bCs/>
          <w:color w:val="FF0000"/>
          <w:sz w:val="24"/>
          <w:szCs w:val="24"/>
          <w:lang w:val="en-US" w:eastAsia="zh-CN"/>
        </w:rPr>
        <w:t>工程质量、服务、工期</w:t>
      </w:r>
      <w:r>
        <w:rPr>
          <w:rFonts w:hint="eastAsia" w:ascii="仿宋" w:hAnsi="仿宋" w:eastAsia="仿宋" w:cs="仿宋"/>
          <w:b/>
          <w:bCs/>
          <w:color w:val="FF0000"/>
          <w:sz w:val="24"/>
          <w:szCs w:val="24"/>
        </w:rPr>
        <w:t>等进行详细而全面的检验，无任何问题，签署验收单，作为付款凭据之一。</w:t>
      </w:r>
    </w:p>
    <w:p w14:paraId="2B67B8BD">
      <w:pPr>
        <w:topLinePunct/>
        <w:adjustRightInd w:val="0"/>
        <w:snapToGrid w:val="0"/>
        <w:spacing w:line="360" w:lineRule="auto"/>
        <w:ind w:left="420" w:leftChars="200" w:firstLine="120" w:firstLineChars="5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四</w:t>
      </w:r>
      <w:r>
        <w:rPr>
          <w:rFonts w:hint="eastAsia" w:ascii="仿宋" w:hAnsi="仿宋" w:eastAsia="仿宋" w:cs="仿宋"/>
          <w:sz w:val="24"/>
          <w:szCs w:val="24"/>
        </w:rPr>
        <w:t>）售后服务：成交供应商应提供及时周到的售后服务。</w:t>
      </w:r>
      <w:bookmarkStart w:id="16" w:name="_Toc6399"/>
    </w:p>
    <w:p w14:paraId="22B0E503">
      <w:pPr>
        <w:topLinePunct/>
        <w:adjustRightInd w:val="0"/>
        <w:snapToGrid w:val="0"/>
        <w:spacing w:line="360" w:lineRule="auto"/>
        <w:ind w:left="420" w:leftChars="200" w:firstLine="120" w:firstLineChars="5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五</w:t>
      </w:r>
      <w:r>
        <w:rPr>
          <w:rFonts w:hint="eastAsia" w:ascii="仿宋" w:hAnsi="仿宋" w:eastAsia="仿宋" w:cs="仿宋"/>
          <w:sz w:val="24"/>
          <w:szCs w:val="24"/>
        </w:rPr>
        <w:t>）质保期：2年，质保期内</w:t>
      </w:r>
      <w:r>
        <w:rPr>
          <w:rFonts w:hint="eastAsia" w:ascii="仿宋" w:hAnsi="仿宋" w:eastAsia="仿宋" w:cs="仿宋"/>
          <w:sz w:val="24"/>
          <w:szCs w:val="24"/>
          <w:lang w:val="en-US" w:eastAsia="zh-CN"/>
        </w:rPr>
        <w:t>产生的施工</w:t>
      </w:r>
      <w:r>
        <w:rPr>
          <w:rFonts w:hint="eastAsia" w:ascii="仿宋" w:hAnsi="仿宋" w:eastAsia="仿宋" w:cs="仿宋"/>
          <w:sz w:val="24"/>
          <w:szCs w:val="24"/>
        </w:rPr>
        <w:t>质量</w:t>
      </w:r>
      <w:r>
        <w:rPr>
          <w:rFonts w:hint="eastAsia" w:ascii="仿宋" w:hAnsi="仿宋" w:eastAsia="仿宋" w:cs="仿宋"/>
          <w:sz w:val="24"/>
          <w:szCs w:val="24"/>
          <w:lang w:val="en-US" w:eastAsia="zh-CN"/>
        </w:rPr>
        <w:t>问题</w:t>
      </w:r>
      <w:r>
        <w:rPr>
          <w:rFonts w:hint="eastAsia" w:ascii="仿宋" w:hAnsi="仿宋" w:eastAsia="仿宋" w:cs="仿宋"/>
          <w:sz w:val="24"/>
          <w:szCs w:val="24"/>
        </w:rPr>
        <w:t>免费到场维修。</w:t>
      </w:r>
    </w:p>
    <w:p w14:paraId="14D2D518">
      <w:pPr>
        <w:topLinePunct/>
        <w:adjustRightInd w:val="0"/>
        <w:snapToGrid w:val="0"/>
        <w:spacing w:line="360" w:lineRule="auto"/>
        <w:ind w:left="420" w:leftChars="200" w:firstLine="120" w:firstLineChars="50"/>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六）中标供应商提供的材质以及制作安装过程中必须符合甲方ISO国际标准质量、环境、职业安全健康一体化管理体系要求。</w:t>
      </w:r>
    </w:p>
    <w:bookmarkEnd w:id="16"/>
    <w:p w14:paraId="790DDE38">
      <w:pPr>
        <w:pageBreakBefore w:val="0"/>
        <w:shd w:val="clear"/>
        <w:kinsoku/>
        <w:wordWrap/>
        <w:overflowPunct/>
        <w:autoSpaceDE/>
        <w:autoSpaceDN/>
        <w:bidi w:val="0"/>
        <w:adjustRightInd w:val="0"/>
        <w:snapToGrid w:val="0"/>
        <w:spacing w:line="360" w:lineRule="auto"/>
        <w:ind w:firstLine="643" w:firstLineChars="200"/>
        <w:jc w:val="center"/>
        <w:textAlignment w:val="auto"/>
        <w:rPr>
          <w:rFonts w:ascii="仿宋" w:hAnsi="仿宋" w:eastAsia="仿宋" w:cs="仿宋"/>
          <w:b/>
          <w:bCs/>
          <w:sz w:val="32"/>
          <w:szCs w:val="32"/>
          <w:highlight w:val="none"/>
        </w:rPr>
      </w:pPr>
      <w:bookmarkStart w:id="17" w:name="_Toc635"/>
      <w:bookmarkStart w:id="18" w:name="_Toc227520434"/>
      <w:r>
        <w:rPr>
          <w:rFonts w:hint="eastAsia" w:ascii="仿宋" w:hAnsi="仿宋" w:eastAsia="仿宋" w:cs="仿宋"/>
          <w:b/>
          <w:bCs/>
          <w:sz w:val="32"/>
          <w:szCs w:val="32"/>
          <w:highlight w:val="none"/>
        </w:rPr>
        <w:t>第三章 安全施工操作规程</w:t>
      </w:r>
    </w:p>
    <w:p w14:paraId="55806DF7">
      <w:pPr>
        <w:pStyle w:val="2"/>
        <w:pageBreakBefore w:val="0"/>
        <w:shd w:val="clear"/>
        <w:kinsoku/>
        <w:wordWrap/>
        <w:overflowPunct/>
        <w:autoSpaceDE/>
        <w:autoSpaceDN/>
        <w:bidi w:val="0"/>
        <w:adjustRightInd w:val="0"/>
        <w:snapToGrid w:val="0"/>
        <w:spacing w:line="360" w:lineRule="auto"/>
        <w:ind w:firstLine="422" w:firstLineChars="200"/>
        <w:textAlignment w:val="auto"/>
        <w:rPr>
          <w:rFonts w:ascii="黑体"/>
          <w:b w:val="0"/>
          <w:sz w:val="21"/>
          <w:szCs w:val="21"/>
          <w:highlight w:val="none"/>
        </w:rPr>
      </w:pPr>
      <w:bookmarkStart w:id="19" w:name="_Toc25210"/>
      <w:bookmarkStart w:id="20" w:name="_Toc14344"/>
      <w:bookmarkStart w:id="21" w:name="_Toc27469"/>
      <w:bookmarkStart w:id="22" w:name="_Toc28883"/>
      <w:r>
        <w:rPr>
          <w:rFonts w:hint="eastAsia" w:ascii="宋体" w:hAnsi="宋体" w:eastAsia="宋体" w:cs="宋体"/>
          <w:sz w:val="21"/>
          <w:szCs w:val="21"/>
          <w:highlight w:val="none"/>
        </w:rPr>
        <w:t>第一节  焊工安全操作规程</w:t>
      </w:r>
      <w:bookmarkEnd w:id="19"/>
      <w:bookmarkEnd w:id="20"/>
      <w:bookmarkEnd w:id="21"/>
      <w:bookmarkEnd w:id="22"/>
    </w:p>
    <w:p w14:paraId="5593CBA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1、工作前应认真检查工具、设备是否完好，焊机的外壳是否可靠地接地。焊机的修理应由电气保养人员进行，其他人员不得拆修。</w:t>
      </w:r>
    </w:p>
    <w:p w14:paraId="01124CA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2、工作前应认真检查工作环境，确认为正常方可开始工作，施工前穿戴好劳动保护用品，戴好安全帽。高空作业要戴好安全带。敲焊渣、磨砂轮戴好平光眼镜。</w:t>
      </w:r>
    </w:p>
    <w:p w14:paraId="25229BA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3、焊接前，应检查并确认对焊机的压力机构灵活，夹具牢固，气压、液压系统无泄漏，一切正常后，方可施焊。</w:t>
      </w:r>
    </w:p>
    <w:p w14:paraId="2B55D04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4、焊接前，应根据所焊接钢筋截面，调整二次电压，不得焊接超过对焊机规定直径的钢筋。</w:t>
      </w:r>
    </w:p>
    <w:p w14:paraId="7CA0AAB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5、接拆电焊机电源线或电焊机发生故障，应会同电工一起进行修理，严防触电事故。</w:t>
      </w:r>
    </w:p>
    <w:p w14:paraId="1EDE70E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6、接地线要牢靠安全，不准用脚手架，钢丝缆绳、机床等作接地线。</w:t>
      </w:r>
    </w:p>
    <w:p w14:paraId="623240E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7、在靠近易燃地方焊接，要有严格的防火措施，必要时须经安全员同意方可工作。焊接完毕应认真检查确无火源，才能离开工作场地。 </w:t>
      </w:r>
    </w:p>
    <w:p w14:paraId="2612DD1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8、焊接密封容器、管子应先开好放气孔。修补已装过油的容器，应清洗干净，打开人孔盖或放气孔，才能进行焊接。</w:t>
      </w:r>
    </w:p>
    <w:p w14:paraId="5977F9F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9、在已使用过的罐体上进行焊接作业时，必须查明是否有易燃、易爆气体或物料，严禁在未查明之前动火焊接。焊钳、电焊线应经常检查、保养，发现有损坏应及时修好或更换，焊接过程发现短路现象应先关好焊机，再寻找短路原因，防止焊机烧坏。 </w:t>
      </w:r>
    </w:p>
    <w:p w14:paraId="08D3978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10、焊接吊码、加强脚手架和重要结构应有足够的强度，并敲去焊渣认真检查是否安全、可靠。 </w:t>
      </w:r>
    </w:p>
    <w:p w14:paraId="2A2A846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9、在容器内焊接，应注意通风，把有害烟尘排出，以防中毒。在狭小容器内焊接应有2人，以防触电等事故。</w:t>
      </w:r>
    </w:p>
    <w:p w14:paraId="54EC84B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12、容器内油漆未干，有可燃体散发不准施焊。 </w:t>
      </w:r>
    </w:p>
    <w:p w14:paraId="36E703E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13、施工焊接现场10M范围内，不得堆放油类、木材、氧气瓶、乙炔发生器等易燃、易爆物品。</w:t>
      </w:r>
    </w:p>
    <w:p w14:paraId="1AA1FA1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14、断路器的接触点、电极应定期光磨，二次电路全部连接螺栓应定期紧固。冷却水温度不得超过40℃；排水量应根据温度调节。</w:t>
      </w:r>
    </w:p>
    <w:p w14:paraId="7655317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15、焊接较长钢筋时，应设置托架，配合搬运钢筋的操作人员，在焊接时应防止火花烫伤。</w:t>
      </w:r>
    </w:p>
    <w:p w14:paraId="6C01FBD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16、闪光区应设挡板，与焊接无关的人员不得入内。</w:t>
      </w:r>
    </w:p>
    <w:p w14:paraId="0C1C901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FF"/>
          <w:sz w:val="21"/>
          <w:szCs w:val="21"/>
          <w:highlight w:val="none"/>
        </w:rPr>
      </w:pPr>
      <w:r>
        <w:rPr>
          <w:rFonts w:hint="eastAsia" w:ascii="宋体" w:hAnsi="宋体"/>
          <w:color w:val="000000"/>
          <w:sz w:val="21"/>
          <w:szCs w:val="21"/>
          <w:highlight w:val="none"/>
        </w:rPr>
        <w:t>17、冬季施焊时，室内温度不应低于8℃。作业后，应放尽机内冷却水。</w:t>
      </w:r>
    </w:p>
    <w:p w14:paraId="7E41AD3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ascii="宋体" w:hAnsi="宋体"/>
          <w:color w:val="000000"/>
          <w:sz w:val="21"/>
          <w:szCs w:val="21"/>
          <w:highlight w:val="none"/>
        </w:rPr>
        <w:t>1</w:t>
      </w:r>
      <w:r>
        <w:rPr>
          <w:rFonts w:hint="eastAsia" w:ascii="宋体" w:hAnsi="宋体"/>
          <w:color w:val="000000"/>
          <w:sz w:val="21"/>
          <w:szCs w:val="21"/>
          <w:highlight w:val="none"/>
        </w:rPr>
        <w:t>8、电焊机应放在防雨和通风良好的地方，焊接现场不准堆放易燃、易爆物品，使用电焊机必须按规定穿戴防护用品。</w:t>
      </w:r>
    </w:p>
    <w:p w14:paraId="2183973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ascii="宋体" w:hAnsi="宋体"/>
          <w:sz w:val="21"/>
          <w:szCs w:val="21"/>
          <w:highlight w:val="none"/>
        </w:rPr>
        <w:t>1</w:t>
      </w:r>
      <w:r>
        <w:rPr>
          <w:rFonts w:hint="eastAsia" w:ascii="宋体" w:hAnsi="宋体"/>
          <w:sz w:val="21"/>
          <w:szCs w:val="21"/>
          <w:highlight w:val="none"/>
        </w:rPr>
        <w:t>9、焊钳与把线必须绝缘良好，连接牢固，更换焊条应戴手套；潮湿地点工作，应站在绝缘胶板上或木板上。</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20、交流弧焊机一次电源线长度应不大于5米，电焊机二次线电缆长度应不大于30米。</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21、严禁在带压力的容器或管道上施焊，焊接带电的设备必须先切断电源。</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w:t>
      </w:r>
      <w:r>
        <w:rPr>
          <w:rFonts w:ascii="宋体" w:hAnsi="宋体"/>
          <w:color w:val="000000"/>
          <w:sz w:val="21"/>
          <w:szCs w:val="21"/>
          <w:highlight w:val="none"/>
        </w:rPr>
        <w:t xml:space="preserve"> </w:t>
      </w:r>
      <w:r>
        <w:rPr>
          <w:rFonts w:hint="eastAsia" w:ascii="宋体" w:hAnsi="宋体"/>
          <w:color w:val="000000"/>
          <w:sz w:val="21"/>
          <w:szCs w:val="21"/>
          <w:highlight w:val="none"/>
        </w:rPr>
        <w:t>22、焊接贮存过易燃、易爆、有毒物品的容器或管道，必须先清除干净，并将所有孔口打开。</w:t>
      </w:r>
    </w:p>
    <w:p w14:paraId="050CD29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23、在密闭金属容器内施焊时，容器必须可靠接地、通风良好，并应有人监护。严禁往容器内输入氧气。</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24、焊接预热工件时，应有石棉布或挡板等隔热措施。</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25、把线、地线，禁止与钢丝绳接触，更不得用钢丝绳或机电设备代替零线。所有地线接头必须连接牢固。</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26、更换场地移动把线时，应切断电源，并不得手持把线爬梯登高。</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27、清除焊渣采用电弧气刨清根时，应戴防护眼镜或面罩，防止铁渣飞溅伤人。</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28、雷雨时，应停止露天焊接作业;更换场地移动把线应切断电源。</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w:t>
      </w:r>
      <w:r>
        <w:rPr>
          <w:rFonts w:ascii="宋体" w:hAnsi="宋体"/>
          <w:color w:val="000000"/>
          <w:sz w:val="21"/>
          <w:szCs w:val="21"/>
          <w:highlight w:val="none"/>
        </w:rPr>
        <w:t>2</w:t>
      </w:r>
      <w:r>
        <w:rPr>
          <w:rFonts w:hint="eastAsia" w:ascii="宋体" w:hAnsi="宋体"/>
          <w:color w:val="000000"/>
          <w:sz w:val="21"/>
          <w:szCs w:val="21"/>
          <w:highlight w:val="none"/>
        </w:rPr>
        <w:t>9、必须在易燃易爆气体或液体扩散区施焊时，应经有关部门检试许可后，方可施焊。</w:t>
      </w:r>
    </w:p>
    <w:p w14:paraId="395AE3B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color w:val="000000"/>
          <w:sz w:val="21"/>
          <w:szCs w:val="21"/>
          <w:highlight w:val="none"/>
        </w:rPr>
        <w:t>30、电焊着火时，应先切断焊机电源，再用二氧化碳、干粉等灭火器灭火，禁止使用泡沫灭火器。 </w:t>
      </w:r>
    </w:p>
    <w:p w14:paraId="273DB40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31、工作完毕，必须断掉龙头线接头，检查现场，灭绝火种，切断电源，确认无起火危险后，方可离去。</w:t>
      </w:r>
    </w:p>
    <w:p w14:paraId="3039EB06">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23" w:name="_Toc2036"/>
      <w:bookmarkStart w:id="24" w:name="_Toc31024"/>
      <w:bookmarkStart w:id="25" w:name="_Toc16316"/>
      <w:r>
        <w:rPr>
          <w:rFonts w:hint="eastAsia" w:ascii="宋体" w:hAnsi="宋体" w:cs="宋体"/>
          <w:b/>
          <w:bCs/>
          <w:sz w:val="21"/>
          <w:szCs w:val="21"/>
          <w:highlight w:val="none"/>
        </w:rPr>
        <w:t>第二节 电工安全操作规程</w:t>
      </w:r>
      <w:bookmarkEnd w:id="23"/>
      <w:bookmarkEnd w:id="24"/>
      <w:bookmarkEnd w:id="25"/>
    </w:p>
    <w:p w14:paraId="74D2B55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ascii="宋体" w:hAnsi="宋体"/>
          <w:sz w:val="21"/>
          <w:szCs w:val="21"/>
          <w:highlight w:val="none"/>
        </w:rPr>
        <w:t xml:space="preserve"> </w:t>
      </w:r>
      <w:r>
        <w:rPr>
          <w:rFonts w:hint="eastAsia" w:ascii="宋体" w:hAnsi="宋体"/>
          <w:sz w:val="21"/>
          <w:szCs w:val="21"/>
          <w:highlight w:val="none"/>
        </w:rPr>
        <w:t xml:space="preserve">1、电工作业人员必须经过有关部门安全技术培训，取得特种作业操作证后，方可独立上岗操作。现场用电作业必须由电工完成，严禁他人私拉乱接等作业。    </w:t>
      </w:r>
    </w:p>
    <w:p w14:paraId="7AA1C87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2、所有绝缘、检验工具，应妥善保管，严禁他用，并应定期检查、检验。    </w:t>
      </w:r>
    </w:p>
    <w:p w14:paraId="76EDB3E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3、现场施工用电高低压设备及线路，应按照施工组织设计及有关电气安全技术规程安装和架设。线路上禁止带负荷接电或断电，并禁止带电操作。  </w:t>
      </w:r>
    </w:p>
    <w:p w14:paraId="192F4B1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4、电气设备和线路必须绝缘良好，电线不得与金属物绑在一起；各种施工用电设备必须按规定进行保护接零及装没漏保器。遇有临时停电或停工休息时，必须拉闸加锁。    </w:t>
      </w:r>
    </w:p>
    <w:p w14:paraId="5ED81C91">
      <w:pPr>
        <w:pageBreakBefore w:val="0"/>
        <w:shd w:val="clear"/>
        <w:kinsoku/>
        <w:wordWrap/>
        <w:overflowPunct/>
        <w:autoSpaceDE/>
        <w:autoSpaceDN/>
        <w:bidi w:val="0"/>
        <w:adjustRightInd w:val="0"/>
        <w:snapToGrid w:val="0"/>
        <w:spacing w:line="360" w:lineRule="auto"/>
        <w:ind w:firstLine="420" w:firstLineChars="200"/>
        <w:textAlignment w:val="auto"/>
        <w:rPr>
          <w:rFonts w:ascii="_x000B__x000C_" w:hAnsi="_x000B__x000C_"/>
          <w:color w:val="000000"/>
          <w:sz w:val="21"/>
          <w:szCs w:val="21"/>
          <w:highlight w:val="none"/>
        </w:rPr>
      </w:pPr>
      <w:r>
        <w:rPr>
          <w:rFonts w:hint="eastAsia" w:ascii="宋体" w:hAnsi="宋体"/>
          <w:sz w:val="21"/>
          <w:szCs w:val="21"/>
          <w:highlight w:val="none"/>
        </w:rPr>
        <w:t>5、有人触电时，应立即切断电源，进行急救；电气着火时，应立即将有关电源切断，使用绝缘灭火机或干砂灭火。</w:t>
      </w:r>
      <w:r>
        <w:rPr>
          <w:rFonts w:hint="eastAsia" w:ascii="_x000B__x000C_" w:hAnsi="_x000B__x000C_"/>
          <w:color w:val="000000"/>
          <w:sz w:val="21"/>
          <w:szCs w:val="21"/>
          <w:highlight w:val="none"/>
        </w:rPr>
        <w:t>严禁使用泡沫灭火器。</w:t>
      </w:r>
    </w:p>
    <w:p w14:paraId="7BAF729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6、在施工现场专用的中性点直接接地的电力系统中，必须采用TN—S接零保护系统。  </w:t>
      </w:r>
    </w:p>
    <w:p w14:paraId="60BC991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7、施工现场每一处重复接地的按地电阻值应不大于10欧姆，且不得少于3处(即总配电箱、线路的中间和末端处)。   </w:t>
      </w:r>
    </w:p>
    <w:p w14:paraId="4DB745B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8、电气设备所有保险丝(片)的额定电源应与其负荷容量相适应。禁上用其他金属丝代替保险丝。    </w:t>
      </w:r>
    </w:p>
    <w:p w14:paraId="58A25FD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9、动力线路与照明线路必须分开架设。照明开关、灯口及插座等，应正确接入相线及零线。   </w:t>
      </w:r>
    </w:p>
    <w:p w14:paraId="6BC6EC1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10、施工现场夜间临时照明电线及灯具，室内高度应不低于2.4米，室外高度应不低于3米。易燃、易爆场所应有防爆灯具。施工现场照明灯具的金属外壳和金属支架必须作保护接零。电线要采用三芯橡皮护套电缆，严禁使用花线和护套线。   </w:t>
      </w:r>
    </w:p>
    <w:p w14:paraId="38BCC61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9、要按规定做好钢管脚手架、物料提升机、塔吊等的防雷接地保护。接地体可用角钢，不得使用螺纹钢，接地电阻应符合规范要求。   </w:t>
      </w:r>
    </w:p>
    <w:p w14:paraId="77E70BF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12、支线架设应设置横担，并用绝缘子固定；电线严禁架设在脚手架、树木等处，不准用竹质电杆；架空线路不准成束架设。    </w:t>
      </w:r>
    </w:p>
    <w:p w14:paraId="070EFA0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13、电气设备的金属外壳，必须接保护零线，同一供电系统不允许电气设备有的接地有的保护接零。    </w:t>
      </w:r>
    </w:p>
    <w:p w14:paraId="6BCE273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14、施工现场配电箱要有防雨措施，门锁齐全，有色标，统一编号。开关箱要做到一机一闸一漏一箱，箱内尤杂物；开关箱、配电箱内严禁动力、照明混用；要有检修记录及记录本。  </w:t>
      </w:r>
    </w:p>
    <w:p w14:paraId="7B2458F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15、移动电箱电源线长度不大于30米，移动用电设备引出线不大于5米。 </w:t>
      </w:r>
    </w:p>
    <w:p w14:paraId="791B7A1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16、所有配电箱均应标明其名称、用途，并作出分路标记。 所有配电箱门应配锁，配电箱和开关箱应由持证的电工负责使用管理。</w:t>
      </w:r>
    </w:p>
    <w:p w14:paraId="42785FA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17、安装高压油开关，自动空气开关等有返回弹簧的开关设备时，应将开关置于断开位置。</w:t>
      </w:r>
    </w:p>
    <w:p w14:paraId="5481421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18、电力传动装置系统及高低压各型开关调试时，应将有关的开关手柄取下或锁上，悬挂标志牌，防止误合闸。</w:t>
      </w:r>
    </w:p>
    <w:p w14:paraId="25FF7F1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19、施工现场临时用电以及电机设备必须建立安全技术档案，现场应配置专职维护电工，并做好巡视维修记录。</w:t>
      </w:r>
    </w:p>
    <w:p w14:paraId="62F79DA5">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26" w:name="_Toc21589"/>
      <w:bookmarkStart w:id="27" w:name="_Toc17144"/>
      <w:bookmarkStart w:id="28" w:name="_Toc5717"/>
      <w:r>
        <w:rPr>
          <w:rFonts w:hint="eastAsia" w:ascii="宋体" w:hAnsi="宋体" w:cs="宋体"/>
          <w:b/>
          <w:bCs/>
          <w:sz w:val="21"/>
          <w:szCs w:val="21"/>
          <w:highlight w:val="none"/>
        </w:rPr>
        <w:t>第三节 架子工安全操作规程</w:t>
      </w:r>
      <w:bookmarkEnd w:id="26"/>
      <w:bookmarkEnd w:id="27"/>
      <w:bookmarkEnd w:id="28"/>
    </w:p>
    <w:p w14:paraId="2D18FA3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1、架子工(建筑登高架设作业人员)经特种作业和高处作业安全技术培训考核，取得特种作业操作证和体检合格后，才能进行脚手架的搭设和拆除工作。</w:t>
      </w:r>
    </w:p>
    <w:p w14:paraId="4674C77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2、搭设脚手架必须按规范进行，即：横平竖直、连接牢固，底脚着实，层层拉结，支撑挺直，通畅平坦，设施齐全、牢固。</w:t>
      </w:r>
    </w:p>
    <w:p w14:paraId="7F13198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3、架子工必须严格按专项施工方案及操作规程的要求搭设，在搭设中要正确佩戴和使用劳动保护用品，戴好安全帽，系安全带，佩带工具袋（套），禁止穿硬底和带钉易滑的鞋上岗。</w:t>
      </w:r>
    </w:p>
    <w:p w14:paraId="3BDA869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4、架子工的作业必须遵照安全技术操作规程、施工负责人的安全技术交底进行，在操作中要严格按规程、标准要求搭设，坚守工作岗位，严禁酒后上岗操作。</w:t>
      </w:r>
    </w:p>
    <w:p w14:paraId="513BF83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5、脚手架不得钢、竹混搭，主要受力杆件，如立杆、大横杆、小横杆和剪刀撑等，在同一建筑立面必须使用同一材质的材料。</w:t>
      </w:r>
    </w:p>
    <w:p w14:paraId="22B75F3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6、搭设用钢管和扣件必须符合国家标准，禁止使用有严重锈蚀、弯曲变形或有裂纹的钢管，脆裂、变形、滑丝的扣件也禁止使用。</w:t>
      </w:r>
    </w:p>
    <w:p w14:paraId="51C586E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7、脚手架内立杆与外墙面间按规定进行防护。脚手架上人斜道应有独立的支撑系统，转角休息平台应不小于2平方米，斜道坡度不得大于l:3，防滑条的间距不得大于30厘米。</w:t>
      </w:r>
    </w:p>
    <w:p w14:paraId="66A5DF35">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8、钢管脚手架立杆的底脚应垂直稳放在砼垫块或砼硬化地基上，并设纵、横向扫地杆。</w:t>
      </w:r>
    </w:p>
    <w:p w14:paraId="4C16824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9、脚于架两端、转角处以及外侧的剪刀撑必须接续到位，拉结点构造和数量符合要求。</w:t>
      </w:r>
    </w:p>
    <w:p w14:paraId="6461DF2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10、设置的立杆应等距，纵向间距不得大于1.8水、脚厂架离墙面不宜大于10厘米。大于10厘米的，必须采取隔离措施。</w:t>
      </w:r>
    </w:p>
    <w:p w14:paraId="2707705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11</w:t>
      </w:r>
      <w:r>
        <w:rPr>
          <w:rFonts w:hint="eastAsia" w:ascii="宋体" w:hAnsi="宋体"/>
          <w:sz w:val="21"/>
          <w:szCs w:val="21"/>
          <w:highlight w:val="none"/>
        </w:rPr>
        <w:t>、脚手架主要杆件的接长点必须错开；钢管剪刀撑的接长处必须搭接，其搭接长度不得小于50厘米。</w:t>
      </w:r>
    </w:p>
    <w:p w14:paraId="4FF0EFC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12、脚手架的顶端必须按规程要求封顶；里立杆应低于檐口50厘米，外立杆应高出檐口1米。脚手架的外侧，自第二步起，必须每步设1.2米高的防护栏杆和30米厘米高的挡脚杆；顶排的扶手栏杆不得少于2道，高度分别为1.2米和1.8米。</w:t>
      </w:r>
    </w:p>
    <w:p w14:paraId="2312FC7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13、脚手架与各类输电线路的距离必须符合规定的安全距离，否则必须采取必要的安全防护措施。搭没和拆除架体时，必须注意安全，谨防杆件碰及高压线后伤人。</w:t>
      </w:r>
    </w:p>
    <w:p w14:paraId="00865B9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14、操作面高于2米的里脚手架的安全防护、强度、刚性和稳定性必须同样符合有关要求。</w:t>
      </w:r>
    </w:p>
    <w:p w14:paraId="1263725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15、脚手架必须有良好的避雷接地装置，接地电阻不大于lo欧姆。</w:t>
      </w:r>
    </w:p>
    <w:p w14:paraId="419E8E2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16、脚手架上的垃圾杂物必须经常清理，发现脚手片破损或杆件弯曲、变形的，应及时更换。</w:t>
      </w:r>
    </w:p>
    <w:p w14:paraId="680496D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17、严禁在脚手架上拉缆风绳和设置起重把杆；不准在脚手架上搁运料滑槽，搭设受料平台；不准采用斜拉、斜吊方式从脚手架上进料。</w:t>
      </w:r>
    </w:p>
    <w:p w14:paraId="6AB9BE3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18</w:t>
      </w:r>
      <w:r>
        <w:rPr>
          <w:rFonts w:hint="eastAsia" w:ascii="宋体" w:hAnsi="宋体"/>
          <w:sz w:val="21"/>
          <w:szCs w:val="21"/>
          <w:highlight w:val="none"/>
        </w:rPr>
        <w:t>、遇有六级以上大风等恶劣气候，禁止进行露天的高处架子作业。</w:t>
      </w:r>
    </w:p>
    <w:p w14:paraId="4FD9E0F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9</w:t>
      </w:r>
      <w:r>
        <w:rPr>
          <w:rFonts w:hint="eastAsia" w:ascii="宋体" w:hAnsi="宋体"/>
          <w:sz w:val="21"/>
          <w:szCs w:val="21"/>
          <w:highlight w:val="none"/>
        </w:rPr>
        <w:t>、架子的铺设宽度</w:t>
      </w:r>
      <w:r>
        <w:rPr>
          <w:rFonts w:hint="eastAsia" w:ascii="仿宋_GB2312"/>
          <w:sz w:val="21"/>
          <w:szCs w:val="21"/>
          <w:highlight w:val="none"/>
        </w:rPr>
        <w:t>不得小于1.2米，脚手板须满铺，不得有空隙和探头板，脚手板搭接时不得小于10厘米，对头接时应设双排小横杆，间距不大于10厘米，在拐弯处脚手板应交叉搭接。</w:t>
      </w:r>
    </w:p>
    <w:p w14:paraId="2DDBDE6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20</w:t>
      </w:r>
      <w:r>
        <w:rPr>
          <w:rFonts w:hint="eastAsia" w:ascii="宋体" w:hAnsi="宋体"/>
          <w:sz w:val="21"/>
          <w:szCs w:val="21"/>
          <w:highlight w:val="none"/>
        </w:rPr>
        <w:t>、翻脚</w:t>
      </w:r>
      <w:r>
        <w:rPr>
          <w:rFonts w:hint="eastAsia" w:ascii="仿宋_GB2312"/>
          <w:sz w:val="21"/>
          <w:szCs w:val="21"/>
          <w:highlight w:val="none"/>
        </w:rPr>
        <w:t>手板应两人由里往外按顺序进行，在铺第一块或翻到最后一块脚手板时，必须挂牢安全带。</w:t>
      </w:r>
    </w:p>
    <w:p w14:paraId="16C3DBB3">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宋体" w:hAnsi="宋体"/>
          <w:sz w:val="21"/>
          <w:szCs w:val="21"/>
          <w:highlight w:val="none"/>
          <w:lang w:val="en-US" w:eastAsia="zh-CN"/>
        </w:rPr>
        <w:t>21</w:t>
      </w:r>
      <w:r>
        <w:rPr>
          <w:rFonts w:hint="eastAsia" w:ascii="宋体" w:hAnsi="宋体"/>
          <w:sz w:val="21"/>
          <w:szCs w:val="21"/>
          <w:highlight w:val="none"/>
        </w:rPr>
        <w:t>、脚手架、井架等特殊架子搭设、安装完毕，必须经施工负责人、安全人员、使用班组共同验收合格后，方准使用。在拆除脚手架时，周围应设围栏或警戒标志，并设专人看管</w:t>
      </w:r>
      <w:r>
        <w:rPr>
          <w:rFonts w:hint="eastAsia" w:ascii="仿宋_GB2312"/>
          <w:sz w:val="21"/>
          <w:szCs w:val="21"/>
          <w:highlight w:val="none"/>
        </w:rPr>
        <w:t>，拆除顺序由上而下，一步一清，不准上下同时作业。</w:t>
      </w:r>
    </w:p>
    <w:p w14:paraId="7DAE431D">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2</w:t>
      </w:r>
      <w:r>
        <w:rPr>
          <w:rFonts w:hint="eastAsia" w:ascii="宋体" w:hAnsi="宋体"/>
          <w:sz w:val="21"/>
          <w:szCs w:val="21"/>
          <w:highlight w:val="none"/>
        </w:rPr>
        <w:t>、安全帽、安全带、安全网要有符合国家标准的出厂合格证，并要定期检查，不符合要求的，严禁使用。</w:t>
      </w:r>
      <w:r>
        <w:rPr>
          <w:rFonts w:hint="eastAsia" w:ascii="宋体" w:hAnsi="宋体"/>
          <w:sz w:val="21"/>
          <w:szCs w:val="21"/>
          <w:highlight w:val="none"/>
        </w:rPr>
        <w:br w:type="textWrapping"/>
      </w:r>
      <w:r>
        <w:rPr>
          <w:rFonts w:ascii="宋体" w:hAnsi="宋体"/>
          <w:sz w:val="21"/>
          <w:szCs w:val="21"/>
          <w:highlight w:val="none"/>
        </w:rPr>
        <w:t xml:space="preserve">    </w:t>
      </w:r>
      <w:r>
        <w:rPr>
          <w:rFonts w:hint="eastAsia" w:ascii="宋体" w:hAnsi="宋体"/>
          <w:sz w:val="21"/>
          <w:szCs w:val="21"/>
          <w:highlight w:val="none"/>
        </w:rPr>
        <w:t>2</w:t>
      </w:r>
      <w:r>
        <w:rPr>
          <w:rFonts w:hint="eastAsia" w:ascii="宋体" w:hAnsi="宋体"/>
          <w:sz w:val="21"/>
          <w:szCs w:val="21"/>
          <w:highlight w:val="none"/>
          <w:lang w:val="en-US" w:eastAsia="zh-CN"/>
        </w:rPr>
        <w:t>3</w:t>
      </w:r>
      <w:r>
        <w:rPr>
          <w:rFonts w:hint="eastAsia" w:ascii="宋体" w:hAnsi="宋体"/>
          <w:sz w:val="21"/>
          <w:szCs w:val="21"/>
          <w:highlight w:val="none"/>
        </w:rPr>
        <w:t>、钢管脚手不得使用有严重锈蚀、弯曲、压扁或裂纹的钢管；扣件要有出厂合格证明，有脆裂、变形、滑丝等的劣质品，禁止使用。</w:t>
      </w:r>
    </w:p>
    <w:p w14:paraId="17E2892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4</w:t>
      </w:r>
      <w:r>
        <w:rPr>
          <w:rFonts w:hint="eastAsia" w:ascii="宋体" w:hAnsi="宋体"/>
          <w:sz w:val="21"/>
          <w:szCs w:val="21"/>
          <w:highlight w:val="none"/>
        </w:rPr>
        <w:t>、砌墙高度超过4米时，必须在墙外搭设能承受160公斤荷重的安全网或防护挡板。多层建筑应在二层和每隔四层设一道固定安全网同时再设一道随施工高度提升的安全网。网应外高里低，网与网之间须拼接严密，网内杂物要随时</w:t>
      </w:r>
      <w:r>
        <w:rPr>
          <w:rFonts w:hint="eastAsia" w:ascii="仿宋_GB2312"/>
          <w:sz w:val="21"/>
          <w:szCs w:val="21"/>
          <w:highlight w:val="none"/>
        </w:rPr>
        <w:t>清扫。</w:t>
      </w:r>
    </w:p>
    <w:p w14:paraId="58CD248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5</w:t>
      </w:r>
      <w:r>
        <w:rPr>
          <w:rFonts w:hint="eastAsia" w:ascii="宋体" w:hAnsi="宋体"/>
          <w:sz w:val="21"/>
          <w:szCs w:val="21"/>
          <w:highlight w:val="none"/>
        </w:rPr>
        <w:t>、拆除脚手架和物料提升机应明确专人负责指挥，拆除前必须进行全面检查架体有无其他牵拉物，提升机与脚手架、建筑物连结情况等；拆除时指定专人警戒；拆除必须按搭设的逆顺序逐层自上而下进行，做到一步一清。严禁上下同时拆除。</w:t>
      </w:r>
    </w:p>
    <w:p w14:paraId="5CF92C9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6</w:t>
      </w:r>
      <w:r>
        <w:rPr>
          <w:rFonts w:hint="eastAsia" w:ascii="宋体" w:hAnsi="宋体"/>
          <w:sz w:val="21"/>
          <w:szCs w:val="21"/>
          <w:highlight w:val="none"/>
        </w:rPr>
        <w:t>、拆下的钢管、脚手片、扣件、密目型安全网等物体，应向下传递或用绳吊下，禁止往下抛拂。</w:t>
      </w:r>
    </w:p>
    <w:p w14:paraId="06052DE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7</w:t>
      </w:r>
      <w:r>
        <w:rPr>
          <w:rFonts w:hint="eastAsia" w:ascii="宋体" w:hAnsi="宋体"/>
          <w:sz w:val="21"/>
          <w:szCs w:val="21"/>
          <w:highlight w:val="none"/>
        </w:rPr>
        <w:t>、钢管、脚手片、扣件、安全网等分门别类，整齐堆放，挂设标牌。</w:t>
      </w:r>
    </w:p>
    <w:p w14:paraId="463E050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val="en-US" w:eastAsia="zh-CN"/>
        </w:rPr>
        <w:t>8</w:t>
      </w:r>
      <w:r>
        <w:rPr>
          <w:rFonts w:hint="eastAsia" w:ascii="宋体" w:hAnsi="宋体"/>
          <w:sz w:val="21"/>
          <w:szCs w:val="21"/>
          <w:highlight w:val="none"/>
        </w:rPr>
        <w:t>、脚手架搭设后，必须申请验收。</w:t>
      </w:r>
    </w:p>
    <w:p w14:paraId="35AEE3EA">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29" w:name="_Toc11390"/>
      <w:bookmarkStart w:id="30" w:name="_Toc25520"/>
      <w:bookmarkStart w:id="31" w:name="_Toc20544"/>
      <w:r>
        <w:rPr>
          <w:rFonts w:hint="eastAsia" w:ascii="宋体" w:hAnsi="宋体" w:cs="宋体"/>
          <w:b/>
          <w:bCs/>
          <w:sz w:val="21"/>
          <w:szCs w:val="21"/>
          <w:highlight w:val="none"/>
        </w:rPr>
        <w:t>第四节 起重工安全操作规程</w:t>
      </w:r>
      <w:bookmarkEnd w:id="29"/>
      <w:bookmarkEnd w:id="30"/>
      <w:bookmarkEnd w:id="31"/>
    </w:p>
    <w:p w14:paraId="7BB70086">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1、所有人员禁止在起重臂和吊起的重物下面停留或行走。</w:t>
      </w:r>
    </w:p>
    <w:p w14:paraId="0F63662D">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2、使用卡环应使用长度方向受力，抽销卡环应预防销子滑脱，有缺陷的卡环严禁使用。</w:t>
      </w:r>
    </w:p>
    <w:p w14:paraId="2ED3FDEC">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3、起重物件应使用交互捻制的钢丝绳。钢丝绳如有扭结、变形、断丝、锈蚀等异常现象，应及时降低使用标准或报废。</w:t>
      </w:r>
    </w:p>
    <w:p w14:paraId="737B9C03">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4、使用三根以上绳扣吊装时，绳扣间的夹角如大于100度，应采取防止滑钩等措施。</w:t>
      </w:r>
    </w:p>
    <w:p w14:paraId="1E9AB50A">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5、起吊物件，应合理设置溜绳。</w:t>
      </w:r>
    </w:p>
    <w:p w14:paraId="4C97C4B0">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6、司机必须听从指挥人员指挥，当指挥信号不明时。司机应发出“重复”信号询问，明确指挥意图后，方可开车。</w:t>
      </w:r>
    </w:p>
    <w:p w14:paraId="5AF456FE">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7、风力五级以上时停止吊装。</w:t>
      </w:r>
    </w:p>
    <w:p w14:paraId="0DB33554">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宋体" w:hAnsi="宋体"/>
          <w:color w:val="000000"/>
          <w:sz w:val="21"/>
          <w:szCs w:val="21"/>
          <w:highlight w:val="none"/>
        </w:rPr>
      </w:pPr>
      <w:r>
        <w:rPr>
          <w:rFonts w:hint="eastAsia" w:ascii="宋体" w:hAnsi="宋体"/>
          <w:color w:val="000000"/>
          <w:sz w:val="21"/>
          <w:szCs w:val="21"/>
          <w:highlight w:val="none"/>
        </w:rPr>
        <w:t>8、对起重机司机和指挥人员，必须由有关部门进行标准的安全技术培训。经考试合格，取得合格证后方能操作指挥。</w:t>
      </w:r>
    </w:p>
    <w:p w14:paraId="24490838">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黑体" w:eastAsia="黑体"/>
          <w:bCs/>
          <w:color w:val="000000"/>
          <w:sz w:val="21"/>
          <w:szCs w:val="21"/>
          <w:highlight w:val="none"/>
        </w:rPr>
      </w:pPr>
      <w:bookmarkStart w:id="32" w:name="_Toc15916"/>
      <w:bookmarkStart w:id="33" w:name="_Toc13903"/>
      <w:bookmarkStart w:id="34" w:name="_Toc13034"/>
      <w:r>
        <w:rPr>
          <w:rFonts w:hint="eastAsia" w:ascii="宋体" w:hAnsi="宋体" w:cs="宋体"/>
          <w:b/>
          <w:bCs/>
          <w:sz w:val="21"/>
          <w:szCs w:val="21"/>
          <w:highlight w:val="none"/>
        </w:rPr>
        <w:t>第五节 木工安全操作规程</w:t>
      </w:r>
      <w:bookmarkEnd w:id="32"/>
      <w:bookmarkEnd w:id="33"/>
      <w:bookmarkEnd w:id="34"/>
    </w:p>
    <w:p w14:paraId="62D95C1C">
      <w:pPr>
        <w:pageBreakBefore w:val="0"/>
        <w:shd w:val="clear"/>
        <w:kinsoku/>
        <w:wordWrap/>
        <w:overflowPunct/>
        <w:autoSpaceDE/>
        <w:autoSpaceDN/>
        <w:bidi w:val="0"/>
        <w:adjustRightInd w:val="0"/>
        <w:snapToGrid w:val="0"/>
        <w:spacing w:line="360" w:lineRule="auto"/>
        <w:ind w:firstLine="420" w:firstLineChars="200"/>
        <w:jc w:val="left"/>
        <w:textAlignment w:val="auto"/>
        <w:rPr>
          <w:rFonts w:ascii="仿宋_GB2312"/>
          <w:sz w:val="21"/>
          <w:szCs w:val="21"/>
          <w:highlight w:val="none"/>
        </w:rPr>
      </w:pPr>
      <w:r>
        <w:rPr>
          <w:rFonts w:hint="eastAsia" w:ascii="宋体" w:hAnsi="宋体"/>
          <w:color w:val="000000"/>
          <w:sz w:val="21"/>
          <w:szCs w:val="21"/>
          <w:highlight w:val="none"/>
        </w:rPr>
        <w:t>1、模板支撑不得使用腐朽、扭裂、劈裂的材料。顶撑要垂直，底端平整坚实，并加垫木。木楔要钉牢，并用横顺拉杆和剪刀撑拉牢。</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2、采用行架支模应严格检查，发现严重变形、螺栓松动等应及时修复。</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3、支模应按工序进行，模板没有固定前，不得进行下道工序。禁止利用拉杆、支撑攀登上下。</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4、支设4米以上的立柱模板，四周必须顶牢，操作时要搭设工作台，不足4米的，可使用马凳操作。</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5、支设独立梁、柱模应设临时工作台，不得站在柱模上操作和在梁模上行走。</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6、拆除模板应经施工技术人员同意。操作时应按顺序分段进行，严禁猛撬、硬砸或大面积撬落和拉倒。完工前，不得留下松动和悬挂的模板，拆下的模板应及时运送到指定地点集中堆放。</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7、拆除薄腹梁、吊车梁、行架等预制构件模板，应随拆随加顶撑支牢。</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8、在深度大于2米的基坑边操作，应有防护网、护身栏等防护措施。</w:t>
      </w:r>
    </w:p>
    <w:p w14:paraId="3C413D1D">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35" w:name="_Toc8670"/>
      <w:bookmarkStart w:id="36" w:name="_Toc8955"/>
      <w:bookmarkStart w:id="37" w:name="_Toc20452"/>
      <w:r>
        <w:rPr>
          <w:rFonts w:hint="eastAsia" w:ascii="宋体" w:hAnsi="宋体" w:cs="宋体"/>
          <w:b/>
          <w:bCs/>
          <w:sz w:val="21"/>
          <w:szCs w:val="21"/>
          <w:highlight w:val="none"/>
        </w:rPr>
        <w:t>第六节 钢筋工安全操作规程</w:t>
      </w:r>
      <w:bookmarkEnd w:id="35"/>
      <w:bookmarkEnd w:id="36"/>
      <w:bookmarkEnd w:id="37"/>
    </w:p>
    <w:p w14:paraId="334FDE9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1、钢材、半成品等应按规格、品种分别堆放整齐，制作场地要平整，工作台要稳固，照明灯具必须加网罩。</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2、拉直钢筋时，卡头要卡牢，地锚要结实牢固，拉筋沿线2米区域内禁止行人。人工绞磨拉直，不准用胸、肚接触推杠，应缓慢松解，不得一次松开。</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3、展开盘圆钢筋要一端卡牢，防止回弹，切断时要先用脚踩紧。</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4、多人合运钢筋，起、落、转、停等动作要一致，人工上下传送不得在同一垂直线上。钢筋堆放要分散、稳当，防止倾倒和塌落。 </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5、在高空、深坑绑扎钢筋和安装骨架，须搭设脚手架和马道。</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6、绑扎立柱、墙体钢筋时，不得站在钢筋骨架上和攀登骨架上下。</w:t>
      </w:r>
    </w:p>
    <w:p w14:paraId="7D2F512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hAnsi="_x000B__x000C_"/>
          <w:b/>
          <w:bCs/>
          <w:sz w:val="21"/>
          <w:szCs w:val="21"/>
          <w:highlight w:val="none"/>
        </w:rPr>
      </w:pPr>
      <w:r>
        <w:rPr>
          <w:rFonts w:hint="eastAsia" w:ascii="宋体" w:hAnsi="宋体"/>
          <w:color w:val="000000"/>
          <w:sz w:val="21"/>
          <w:szCs w:val="21"/>
          <w:highlight w:val="none"/>
        </w:rPr>
        <w:t>7</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绑扎基础钢筋时，应按施工设计规定摆放钢筋支架或马凳架起上部钢筋，不得任意减少支架或马凳。</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8、绑扎建筑高处的钢筋时，应根据具体情况安全网、挂安全带。</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9、起吊钢筋骨架时，下方禁止站人。必须待骨架降落到离地1米以内方准靠近，就位支撑好方可摘钩。 </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10、绑扎立柱、墙体钢筋时，不准将木棒或横木插入钢筋骨架内，并坐在木棒或横木上操作。钢筋超长时，捆扎应牢固。</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w:t>
      </w:r>
      <w:r>
        <w:rPr>
          <w:rFonts w:hint="eastAsia" w:ascii="宋体" w:hAnsi="宋体"/>
          <w:color w:val="000000"/>
          <w:sz w:val="21"/>
          <w:szCs w:val="21"/>
          <w:highlight w:val="none"/>
          <w:lang w:val="en-US" w:eastAsia="zh-CN"/>
        </w:rPr>
        <w:t>11</w:t>
      </w:r>
      <w:r>
        <w:rPr>
          <w:rFonts w:hint="eastAsia" w:ascii="宋体" w:hAnsi="宋体"/>
          <w:color w:val="000000"/>
          <w:sz w:val="21"/>
          <w:szCs w:val="21"/>
          <w:highlight w:val="none"/>
        </w:rPr>
        <w:t>、在操作平台上堆放钢筋或物料应牢靠，操作工具不用时，必须装在工具袋内，以防坠物伤人。</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12、使用钢筋冷拉机、切断机、弯曲机，应遵守钢筋机械安全技术操作规程，先检查后使用，使用后切断电源，设备应做好十字作业（清洁、润滑、调整、紧固、防腐）。 </w:t>
      </w:r>
    </w:p>
    <w:p w14:paraId="23AC25E3">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38" w:name="_Toc22841"/>
      <w:bookmarkStart w:id="39" w:name="_Toc17514"/>
      <w:bookmarkStart w:id="40" w:name="_Toc1899"/>
      <w:r>
        <w:rPr>
          <w:rFonts w:hint="eastAsia" w:ascii="宋体" w:hAnsi="宋体" w:cs="宋体"/>
          <w:b/>
          <w:bCs/>
          <w:sz w:val="21"/>
          <w:szCs w:val="21"/>
          <w:highlight w:val="none"/>
        </w:rPr>
        <w:t>第七节 混凝土工安全操作规程</w:t>
      </w:r>
      <w:bookmarkEnd w:id="38"/>
      <w:bookmarkEnd w:id="39"/>
      <w:bookmarkEnd w:id="40"/>
    </w:p>
    <w:p w14:paraId="63FF4FF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1、车子向料斗倒料，应有挡车措施，不得用力过猛和撒把。</w:t>
      </w:r>
    </w:p>
    <w:p w14:paraId="598FEAB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rPr>
        <w:t>2、浇灌混凝土时，应设操作台，不得直接站在模板或支撑上操作。</w:t>
      </w:r>
    </w:p>
    <w:p w14:paraId="7DA2241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bCs/>
          <w:sz w:val="21"/>
          <w:szCs w:val="21"/>
          <w:highlight w:val="none"/>
        </w:rPr>
      </w:pPr>
      <w:r>
        <w:rPr>
          <w:rFonts w:hint="eastAsia" w:ascii="宋体" w:hAnsi="宋体"/>
          <w:color w:val="000000"/>
          <w:sz w:val="21"/>
          <w:szCs w:val="21"/>
          <w:highlight w:val="none"/>
        </w:rPr>
        <w:t>3、使用振动棒应穿胶鞋戴绝缘手套，湿手不得接触开关，电源线不得有破皮漏电。</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4、浇灌时使用的溜槽及串筒节间必须连接牢固。操作部位应有护身栏杆，不准直接站在溜槽板上操作。</w:t>
      </w:r>
      <w:r>
        <w:rPr>
          <w:rFonts w:hint="eastAsia" w:ascii="宋体" w:hAnsi="宋体"/>
          <w:color w:val="000000"/>
          <w:sz w:val="21"/>
          <w:szCs w:val="21"/>
          <w:highlight w:val="none"/>
        </w:rPr>
        <w:br w:type="textWrapping"/>
      </w:r>
      <w:r>
        <w:rPr>
          <w:rFonts w:hint="eastAsia" w:ascii="宋体" w:hAnsi="宋体"/>
          <w:color w:val="000000"/>
          <w:sz w:val="21"/>
          <w:szCs w:val="21"/>
          <w:highlight w:val="none"/>
        </w:rPr>
        <w:t xml:space="preserve">    </w:t>
      </w:r>
      <w:r>
        <w:rPr>
          <w:rFonts w:hint="eastAsia" w:ascii="宋体" w:hAnsi="宋体"/>
          <w:bCs/>
          <w:sz w:val="21"/>
          <w:szCs w:val="21"/>
          <w:highlight w:val="none"/>
        </w:rPr>
        <w:t xml:space="preserve">5、混凝土搅拌机在运行中，任何人不得将工具伸入筒内清料，进料斗升起时，严禁任何人在料斗下通过或停留。     </w:t>
      </w:r>
    </w:p>
    <w:p w14:paraId="1139A1F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bCs/>
          <w:sz w:val="21"/>
          <w:szCs w:val="21"/>
          <w:highlight w:val="none"/>
        </w:rPr>
      </w:pPr>
      <w:r>
        <w:rPr>
          <w:rFonts w:hint="eastAsia" w:ascii="宋体" w:hAnsi="宋体"/>
          <w:bCs/>
          <w:sz w:val="21"/>
          <w:szCs w:val="21"/>
          <w:highlight w:val="none"/>
        </w:rPr>
        <w:t>6、混凝土机停用时，升起的料斗应插上安全插销，或挂上保险链。</w:t>
      </w:r>
    </w:p>
    <w:p w14:paraId="5BEA8EB0">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41" w:name="_Toc1069"/>
      <w:bookmarkStart w:id="42" w:name="_Toc12747"/>
      <w:bookmarkStart w:id="43" w:name="_Toc6115"/>
      <w:r>
        <w:rPr>
          <w:rFonts w:hint="eastAsia" w:ascii="宋体" w:hAnsi="宋体" w:cs="宋体"/>
          <w:b/>
          <w:bCs/>
          <w:sz w:val="21"/>
          <w:szCs w:val="21"/>
          <w:highlight w:val="none"/>
        </w:rPr>
        <w:t>第八节 装载机安全驾驶操作规程</w:t>
      </w:r>
      <w:bookmarkEnd w:id="41"/>
      <w:bookmarkEnd w:id="42"/>
      <w:bookmarkEnd w:id="43"/>
    </w:p>
    <w:p w14:paraId="6A38994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一、检查车辆</w:t>
      </w:r>
    </w:p>
    <w:p w14:paraId="2B3F56F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1、检查燃油、冷却水及润滑油情况</w:t>
      </w:r>
    </w:p>
    <w:p w14:paraId="3016F60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2、检查行车、驻车制动可靠性。</w:t>
      </w:r>
    </w:p>
    <w:p w14:paraId="33AF250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3、检查空载时铲斗系统运行情况。</w:t>
      </w:r>
    </w:p>
    <w:p w14:paraId="334FCDB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4、检查叉车检查内容中与装载机有关的项目。  </w:t>
      </w:r>
    </w:p>
    <w:p w14:paraId="2A9EAEA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二、起步    </w:t>
      </w:r>
    </w:p>
    <w:p w14:paraId="794BC64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l、起步前观察四周，确认无妨碍安全行车的障碍后，先鸣笛，再起步。  </w:t>
      </w:r>
    </w:p>
    <w:p w14:paraId="393DD58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2、制动气压表读数达到规定值方可起步。</w:t>
      </w:r>
    </w:p>
    <w:p w14:paraId="785A1430">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3、起步时不得突然加速，应平稳起步。</w:t>
      </w:r>
    </w:p>
    <w:p w14:paraId="6A7D2E5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三、行驶</w:t>
      </w:r>
    </w:p>
    <w:p w14:paraId="2418B82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1、行驶前取下前后车体安全联接杆，并妥善保管。</w:t>
      </w:r>
    </w:p>
    <w:p w14:paraId="72B0CE3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2、在坡道上行驶时，应使拖起动操纵杆处于接通位置，拖起动必须是正向行驶。</w:t>
      </w:r>
    </w:p>
    <w:p w14:paraId="0D4754B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3、改变行驶方向及变换驱动操纵杆必须在车停后进行。</w:t>
      </w:r>
    </w:p>
    <w:p w14:paraId="7BB8A97F">
      <w:pPr>
        <w:pageBreakBefore w:val="0"/>
        <w:shd w:val="clear"/>
        <w:kinsoku/>
        <w:wordWrap/>
        <w:overflowPunct/>
        <w:autoSpaceDE/>
        <w:autoSpaceDN/>
        <w:bidi w:val="0"/>
        <w:adjustRightInd w:val="0"/>
        <w:snapToGrid w:val="0"/>
        <w:spacing w:line="360" w:lineRule="auto"/>
        <w:ind w:left="210" w:leftChars="100" w:firstLine="210" w:firstLineChars="100"/>
        <w:textAlignment w:val="auto"/>
        <w:rPr>
          <w:rFonts w:ascii="宋体" w:hAnsi="宋体"/>
          <w:sz w:val="21"/>
          <w:szCs w:val="21"/>
          <w:highlight w:val="none"/>
        </w:rPr>
      </w:pPr>
      <w:r>
        <w:rPr>
          <w:rFonts w:hint="eastAsia" w:ascii="宋体" w:hAnsi="宋体"/>
          <w:sz w:val="21"/>
          <w:szCs w:val="21"/>
          <w:highlight w:val="none"/>
        </w:rPr>
        <w:t>4、运载物料时，应保持动臂下铰点离地面400mm以上。不得将铲斗提升到最高位置运送物料。</w:t>
      </w:r>
    </w:p>
    <w:p w14:paraId="192A8C4B">
      <w:pPr>
        <w:pageBreakBefore w:val="0"/>
        <w:shd w:val="clear"/>
        <w:kinsoku/>
        <w:wordWrap/>
        <w:overflowPunct/>
        <w:autoSpaceDE/>
        <w:autoSpaceDN/>
        <w:bidi w:val="0"/>
        <w:adjustRightInd w:val="0"/>
        <w:snapToGrid w:val="0"/>
        <w:spacing w:line="360" w:lineRule="auto"/>
        <w:textAlignment w:val="auto"/>
        <w:rPr>
          <w:rFonts w:ascii="宋体" w:hAnsi="宋体"/>
          <w:sz w:val="21"/>
          <w:szCs w:val="21"/>
          <w:highlight w:val="none"/>
        </w:rPr>
      </w:pPr>
      <w:r>
        <w:rPr>
          <w:rFonts w:hint="eastAsia" w:ascii="宋体" w:hAnsi="宋体"/>
          <w:sz w:val="21"/>
          <w:szCs w:val="21"/>
          <w:highlight w:val="none"/>
        </w:rPr>
        <w:t xml:space="preserve">    5、应尽量避免在斜坡横向行驶及铲装物料。</w:t>
      </w:r>
    </w:p>
    <w:p w14:paraId="62D6A7B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四、装卸作业</w:t>
      </w:r>
    </w:p>
    <w:p w14:paraId="3336394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1、发动机的水温及润滑油温度达到规定值时方可进行全负，荷作业，当水温、油温超过363K(90℃)时应停车，查找原因，待水温低于363K(90℃)时方可作业，否则会损坏发动机。</w:t>
      </w:r>
    </w:p>
    <w:p w14:paraId="74CD46B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2、禁止在前后车体形成角度时铲装货物。取货前，应使前后车体形成直线，对正并靠近货堆，同时使铲斗平行接触地面，然后取货。</w:t>
      </w:r>
    </w:p>
    <w:p w14:paraId="014888A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3、除散粮以外，不准用高速档取货。</w:t>
      </w:r>
    </w:p>
    <w:p w14:paraId="5BF1B51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4、不准边行驶边起升铲斗。</w:t>
      </w:r>
    </w:p>
    <w:p w14:paraId="43EE9C2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5、铲斗铲装货物应均衡，不准铲斗偏重装载货物。</w:t>
      </w:r>
    </w:p>
    <w:p w14:paraId="1578342C">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rPr>
        <w:t>6、装载车是用来进行装载及短途运输散装物料的车辆，禁止用铲斗进行挖掘作业。</w:t>
      </w:r>
    </w:p>
    <w:p w14:paraId="2B0AE0D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7、驾驶员离车前，应将铲斗放到地面，禁止在铲斗悬空时驾驶员离车。</w:t>
      </w:r>
    </w:p>
    <w:p w14:paraId="44E8E6F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8、起升的铲斗下面严禁站人或进行检修作业。若必须在铲斗起升时检修车辆，应对铲斗采取支撑措施，并保证牢固可靠。</w:t>
      </w:r>
    </w:p>
    <w:p w14:paraId="69F6B8F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9、禁止用铲斗举升人员从事高处作业。</w:t>
      </w:r>
    </w:p>
    <w:p w14:paraId="55A7354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10、禁止在码头岸边直接铲装船上的物料。</w:t>
      </w:r>
    </w:p>
    <w:p w14:paraId="3F61450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11</w:t>
      </w:r>
      <w:r>
        <w:rPr>
          <w:rFonts w:hint="eastAsia" w:ascii="宋体" w:hAnsi="宋体"/>
          <w:sz w:val="21"/>
          <w:szCs w:val="21"/>
          <w:highlight w:val="none"/>
        </w:rPr>
        <w:t>、在架空管线下面作业，铲斗起升时应注意不要碰到上方的障碍物，在高压输电线路下面作业时，铲斗还应与输电线保持足够的安全距离。</w:t>
      </w:r>
    </w:p>
    <w:p w14:paraId="4CCE5FD1">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12、在为载重汽车倾卸物料，铲斗前翻时不得刮碰车辆，卸载动作要缓和。在卸车作业时，应注意铲斗不要刮碰车厢。在推运或刮平作业中，应随时观察运行情况，发现车辆前进受阻，应审慎操作，不得强行前进。</w:t>
      </w:r>
    </w:p>
    <w:p w14:paraId="6874FDF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13、停车后应将换向操纵杆放到中央位置，将前后车体安全联接杆安装好。</w:t>
      </w:r>
    </w:p>
    <w:p w14:paraId="7B024148">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44" w:name="_Toc23042"/>
      <w:bookmarkStart w:id="45" w:name="_Toc7309"/>
      <w:bookmarkStart w:id="46" w:name="_Toc26422"/>
      <w:r>
        <w:rPr>
          <w:rFonts w:hint="eastAsia" w:ascii="宋体" w:hAnsi="宋体" w:cs="宋体"/>
          <w:b/>
          <w:bCs/>
          <w:sz w:val="21"/>
          <w:szCs w:val="21"/>
          <w:highlight w:val="none"/>
        </w:rPr>
        <w:t>第九节 挖掘机安全驾驶操作规程</w:t>
      </w:r>
      <w:bookmarkEnd w:id="44"/>
      <w:bookmarkEnd w:id="45"/>
      <w:bookmarkEnd w:id="46"/>
    </w:p>
    <w:p w14:paraId="5267F43D">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一、检查车辆</w:t>
      </w:r>
    </w:p>
    <w:p w14:paraId="70F2788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按规定项目、标准检查挖掘机各部技术状况处于完好状态。</w:t>
      </w:r>
    </w:p>
    <w:p w14:paraId="50B189D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二、起步    </w:t>
      </w:r>
    </w:p>
    <w:p w14:paraId="1FD4344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eastAsia="zh-CN"/>
        </w:rPr>
        <w:t>、</w:t>
      </w:r>
      <w:r>
        <w:rPr>
          <w:rFonts w:hint="eastAsia" w:ascii="宋体" w:hAnsi="宋体"/>
          <w:sz w:val="21"/>
          <w:szCs w:val="21"/>
          <w:highlight w:val="none"/>
        </w:rPr>
        <w:t>起步前，应将铲斗放在车架上，：收回长杆，插好平台与车架的固定插销，支腿处于可靠的收回状态；插好连接平台与车架电路的插头，接通电源，确认各仪表指示正常。</w:t>
      </w:r>
    </w:p>
    <w:p w14:paraId="54E9E35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2</w:t>
      </w:r>
      <w:r>
        <w:rPr>
          <w:rFonts w:hint="eastAsia" w:ascii="宋体" w:hAnsi="宋体"/>
          <w:sz w:val="21"/>
          <w:szCs w:val="21"/>
          <w:highlight w:val="none"/>
          <w:lang w:eastAsia="zh-CN"/>
        </w:rPr>
        <w:t>、</w:t>
      </w:r>
      <w:r>
        <w:rPr>
          <w:rFonts w:hint="eastAsia" w:ascii="宋体" w:hAnsi="宋体"/>
          <w:sz w:val="21"/>
          <w:szCs w:val="21"/>
          <w:highlight w:val="none"/>
        </w:rPr>
        <w:t>起步时应先观察四周，先鸣笛，后起步，以防伤人。</w:t>
      </w:r>
    </w:p>
    <w:p w14:paraId="4E90C99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3</w:t>
      </w:r>
      <w:r>
        <w:rPr>
          <w:rFonts w:hint="eastAsia" w:ascii="宋体" w:hAnsi="宋体"/>
          <w:sz w:val="21"/>
          <w:szCs w:val="21"/>
          <w:highlight w:val="none"/>
          <w:lang w:eastAsia="zh-CN"/>
        </w:rPr>
        <w:t>、</w:t>
      </w:r>
      <w:r>
        <w:rPr>
          <w:rFonts w:hint="eastAsia" w:ascii="宋体" w:hAnsi="宋体"/>
          <w:sz w:val="21"/>
          <w:szCs w:val="21"/>
          <w:highlight w:val="none"/>
        </w:rPr>
        <w:t>挖掘机移动时；应注意前后环境状况，以防碰到电线或其它设施。</w:t>
      </w:r>
    </w:p>
    <w:p w14:paraId="3A635EA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三、行驶</w:t>
      </w:r>
    </w:p>
    <w:p w14:paraId="6A6D73A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eastAsia="zh-CN"/>
        </w:rPr>
        <w:t>、</w:t>
      </w:r>
      <w:r>
        <w:rPr>
          <w:rFonts w:hint="eastAsia" w:ascii="宋体" w:hAnsi="宋体"/>
          <w:sz w:val="21"/>
          <w:szCs w:val="21"/>
          <w:highlight w:val="none"/>
        </w:rPr>
        <w:t>下坡行驶时，严禁发动机熄火滑行和空档滑行。</w:t>
      </w:r>
    </w:p>
    <w:p w14:paraId="45AFD74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不得在斜坡路面上横向行驶。</w:t>
      </w:r>
    </w:p>
    <w:p w14:paraId="1100C7E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严禁在铲斗内载人、载物行驶。</w:t>
      </w:r>
    </w:p>
    <w:p w14:paraId="745566B6">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 xml:space="preserve">通过泥泞、冰雪、松软路面以及坡度较大的道路时，应使前、后桥同时驱动。 </w:t>
      </w:r>
    </w:p>
    <w:p w14:paraId="055C189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恶劣天气能见度在5m以内或道路最大纵坡在6％以上，能见度在10m以内时，应停止行驶。</w:t>
      </w:r>
    </w:p>
    <w:p w14:paraId="6622F8F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四、进入作业现场</w:t>
      </w:r>
    </w:p>
    <w:p w14:paraId="1E1C424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停机处的地面应平整、坚实可靠。</w:t>
      </w:r>
    </w:p>
    <w:p w14:paraId="10904FB7">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铲斗回转半径范围内不应有其它设施妨碍铲斗作业。</w:t>
      </w:r>
    </w:p>
    <w:p w14:paraId="722F5E38">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严禁铲斗回转半径范围内有人员停留。</w:t>
      </w:r>
    </w:p>
    <w:p w14:paraId="04F92BA3">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应尽量避免在高压输电线路下面作业。无法避免在高压输电线路下面作业时，铲斗与电线间的安全距离应符合有关规定。</w:t>
      </w:r>
    </w:p>
    <w:p w14:paraId="31901A6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若需挖掘机边移动边挖掘时，应选择无碍安全的挖掘路线，否则须采取安全措施后方可进行作业。</w:t>
      </w:r>
    </w:p>
    <w:p w14:paraId="05251A6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五、挖掘作业</w:t>
      </w:r>
    </w:p>
    <w:p w14:paraId="30A6F0EF">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作业时应将支腿支稳垫牢，后轮胎略为离地；将前后轮制动，并将平台周围无关物品清除干净。</w:t>
      </w:r>
    </w:p>
    <w:p w14:paraId="2DB2F1B9">
      <w:pPr>
        <w:pageBreakBefore w:val="0"/>
        <w:shd w:val="clear"/>
        <w:kinsoku/>
        <w:wordWrap/>
        <w:overflowPunct/>
        <w:autoSpaceDE/>
        <w:autoSpaceDN/>
        <w:bidi w:val="0"/>
        <w:adjustRightInd w:val="0"/>
        <w:snapToGrid w:val="0"/>
        <w:spacing w:line="360" w:lineRule="auto"/>
        <w:ind w:firstLine="210" w:firstLineChars="100"/>
        <w:textAlignment w:val="auto"/>
        <w:rPr>
          <w:rFonts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2、</w:t>
      </w:r>
      <w:r>
        <w:rPr>
          <w:rFonts w:hint="eastAsia" w:ascii="宋体" w:hAnsi="宋体"/>
          <w:sz w:val="21"/>
          <w:szCs w:val="21"/>
          <w:highlight w:val="none"/>
        </w:rPr>
        <w:t>在开挖前应该检查公用地下设施(管道，电缆等)的位置。不允许挖掘机在还需要保留的地下设施附近作业。</w:t>
      </w:r>
    </w:p>
    <w:p w14:paraId="5D57816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挖出的沟土不应抛到沟边，应随挖随将土运走。</w:t>
      </w:r>
    </w:p>
    <w:p w14:paraId="64EEF44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如有两台挖掘机同时作业时，互相应保持一定的安全距离，防止臂架相互碰撞。</w:t>
      </w:r>
    </w:p>
    <w:p w14:paraId="42A67355">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 xml:space="preserve"> 在斜坡上作业时，要用铰盘钢丝绳将挖掘机拖住。</w:t>
      </w:r>
    </w:p>
    <w:p w14:paraId="2610CFF9">
      <w:pPr>
        <w:pageBreakBefore w:val="0"/>
        <w:shd w:val="clear"/>
        <w:kinsoku/>
        <w:wordWrap/>
        <w:overflowPunct/>
        <w:autoSpaceDE/>
        <w:autoSpaceDN/>
        <w:bidi w:val="0"/>
        <w:adjustRightInd w:val="0"/>
        <w:snapToGrid w:val="0"/>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rPr>
        <w:t>铲斗落地和升起操作不得过猛；平台的起动、回转、停止等操作应缓慢平稳；卸料时，铲斗不得经越或停留在运输车辆驾驶室的上方，铲斗不得与车辆的任何部位接触。</w:t>
      </w:r>
    </w:p>
    <w:p w14:paraId="28A10F8B">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7、</w:t>
      </w:r>
      <w:r>
        <w:rPr>
          <w:rFonts w:hint="eastAsia" w:ascii="宋体" w:hAnsi="宋体"/>
          <w:sz w:val="21"/>
          <w:szCs w:val="21"/>
          <w:highlight w:val="none"/>
        </w:rPr>
        <w:t xml:space="preserve"> 挖掘机在挖比较深的基槽、地沟时，机身窝边口应不少于3m，并用坚木垫实机身，方可进行作业。</w:t>
      </w:r>
    </w:p>
    <w:p w14:paraId="0F5BCD3E">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sz w:val="21"/>
          <w:szCs w:val="21"/>
          <w:highlight w:val="none"/>
        </w:rPr>
      </w:pPr>
      <w:bookmarkStart w:id="47" w:name="_Toc27549"/>
      <w:bookmarkStart w:id="48" w:name="_Toc12038"/>
      <w:bookmarkStart w:id="49" w:name="_Toc28105"/>
      <w:r>
        <w:rPr>
          <w:rFonts w:hint="eastAsia" w:ascii="宋体" w:hAnsi="宋体" w:cs="宋体"/>
          <w:b/>
          <w:bCs/>
          <w:sz w:val="21"/>
          <w:szCs w:val="21"/>
          <w:highlight w:val="none"/>
        </w:rPr>
        <w:t>第十节 推土机安全驾驶操作规程</w:t>
      </w:r>
      <w:bookmarkEnd w:id="47"/>
      <w:bookmarkEnd w:id="48"/>
      <w:bookmarkEnd w:id="49"/>
    </w:p>
    <w:p w14:paraId="0C564E9D">
      <w:pPr>
        <w:pageBreakBefore w:val="0"/>
        <w:shd w:val="clear"/>
        <w:kinsoku/>
        <w:wordWrap/>
        <w:overflowPunct/>
        <w:autoSpaceDE/>
        <w:autoSpaceDN/>
        <w:bidi w:val="0"/>
        <w:adjustRightInd w:val="0"/>
        <w:snapToGrid w:val="0"/>
        <w:spacing w:line="360" w:lineRule="auto"/>
        <w:ind w:left="105" w:leftChars="50" w:firstLine="420" w:firstLineChars="200"/>
        <w:textAlignment w:val="auto"/>
        <w:rPr>
          <w:rFonts w:ascii="宋体" w:hAnsi="宋体"/>
          <w:sz w:val="21"/>
          <w:szCs w:val="21"/>
          <w:highlight w:val="none"/>
        </w:rPr>
      </w:pPr>
      <w:r>
        <w:rPr>
          <w:rFonts w:hint="eastAsia" w:ascii="宋体" w:hAnsi="宋体"/>
          <w:sz w:val="21"/>
          <w:szCs w:val="21"/>
          <w:highlight w:val="none"/>
        </w:rPr>
        <w:t>推土机的行走部分是由履带来完成的，它实际上是由履带式拖拉机加上推土铲组装而成，它的作用主要是在施工现场推平地面。</w:t>
      </w:r>
    </w:p>
    <w:p w14:paraId="598D7E69">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一、检查车辆</w:t>
      </w:r>
    </w:p>
    <w:p w14:paraId="6A00743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检查车辆燃油、冷却水、润滑油情况。</w:t>
      </w:r>
    </w:p>
    <w:p w14:paraId="5FBBCD6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检查履带销钉有无窜出现象。  </w:t>
      </w:r>
    </w:p>
    <w:p w14:paraId="0AEC6FAC">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检查推土铲运转情况。</w:t>
      </w:r>
    </w:p>
    <w:p w14:paraId="1060633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检查液压系统运行及密封件的漏油情况。</w:t>
      </w:r>
    </w:p>
    <w:p w14:paraId="287BD6DA">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5、</w:t>
      </w:r>
      <w:r>
        <w:rPr>
          <w:rFonts w:hint="eastAsia" w:ascii="宋体" w:hAnsi="宋体"/>
          <w:sz w:val="21"/>
          <w:szCs w:val="21"/>
          <w:highlight w:val="none"/>
        </w:rPr>
        <w:t>运行时，随时注意车辆的压力及温度。</w:t>
      </w:r>
    </w:p>
    <w:p w14:paraId="6F043708">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二、起步</w:t>
      </w:r>
    </w:p>
    <w:p w14:paraId="3CE499D6">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起步前观察四周是否有人，尤其是倒车时更应加强观察，同时应观察履带上是否有其它物品，确认安全后，应低速、平稳起步。</w:t>
      </w:r>
    </w:p>
    <w:p w14:paraId="348F66BE">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三、作业   </w:t>
      </w:r>
    </w:p>
    <w:p w14:paraId="0C72E2F4">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作业时应选择适宜的铲推路线，在清理作业现场时，应能保证车辆无下陷、倾覆等危险。</w:t>
      </w:r>
    </w:p>
    <w:p w14:paraId="5D2F18FB">
      <w:pPr>
        <w:pageBreakBefore w:val="0"/>
        <w:shd w:val="clear"/>
        <w:kinsoku/>
        <w:wordWrap/>
        <w:overflowPunct/>
        <w:autoSpaceDE/>
        <w:autoSpaceDN/>
        <w:bidi w:val="0"/>
        <w:adjustRightInd w:val="0"/>
        <w:snapToGrid w:val="0"/>
        <w:spacing w:line="360" w:lineRule="auto"/>
        <w:ind w:left="76" w:leftChars="36"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在向高坡(或坑、沟)推土接近边缘时，推土铲不得轻易提升，应在挂上倒车档后，提铲倒车。</w:t>
      </w:r>
    </w:p>
    <w:p w14:paraId="2FC19E26">
      <w:pPr>
        <w:pageBreakBefore w:val="0"/>
        <w:shd w:val="clear"/>
        <w:kinsoku/>
        <w:wordWrap/>
        <w:overflowPunct/>
        <w:autoSpaceDE/>
        <w:autoSpaceDN/>
        <w:bidi w:val="0"/>
        <w:adjustRightInd w:val="0"/>
        <w:snapToGrid w:val="0"/>
        <w:spacing w:line="360" w:lineRule="auto"/>
        <w:ind w:left="76" w:leftChars="36"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推土机上坡行驶不得超过25°，下坡行驶不得超过35°，推土机不得在坡度大于10°的坡路上横向作业，并不得在陡坡上进行转弯。下坡行驶不准空档滑行。</w:t>
      </w:r>
    </w:p>
    <w:p w14:paraId="4B2DAF12">
      <w:pPr>
        <w:pageBreakBefore w:val="0"/>
        <w:shd w:val="clear"/>
        <w:kinsoku/>
        <w:wordWrap/>
        <w:overflowPunct/>
        <w:autoSpaceDE/>
        <w:autoSpaceDN/>
        <w:bidi w:val="0"/>
        <w:adjustRightInd w:val="0"/>
        <w:snapToGrid w:val="0"/>
        <w:spacing w:line="360" w:lineRule="auto"/>
        <w:ind w:left="134" w:leftChars="64"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用推土机清除高于机体并埋在地下的物体时，应有安全防范措施，要在选择好有利的进退路线后，方可作业。</w:t>
      </w:r>
    </w:p>
    <w:p w14:paraId="16F27112">
      <w:pPr>
        <w:pageBreakBefore w:val="0"/>
        <w:shd w:val="clear"/>
        <w:kinsoku/>
        <w:wordWrap/>
        <w:overflowPunct/>
        <w:autoSpaceDE/>
        <w:autoSpaceDN/>
        <w:bidi w:val="0"/>
        <w:adjustRightInd w:val="0"/>
        <w:snapToGrid w:val="0"/>
        <w:spacing w:line="360" w:lineRule="auto"/>
        <w:ind w:firstLine="420" w:firstLineChars="200"/>
        <w:textAlignment w:val="auto"/>
        <w:rPr>
          <w:rFonts w:ascii="宋体" w:hAnsi="宋体"/>
          <w:sz w:val="21"/>
          <w:szCs w:val="21"/>
          <w:highlight w:val="none"/>
        </w:rPr>
      </w:pPr>
      <w:r>
        <w:rPr>
          <w:rFonts w:hint="eastAsia" w:ascii="宋体" w:hAnsi="宋体"/>
          <w:sz w:val="21"/>
          <w:szCs w:val="21"/>
          <w:highlight w:val="none"/>
        </w:rPr>
        <w:t xml:space="preserve"> </w:t>
      </w:r>
      <w:r>
        <w:rPr>
          <w:rFonts w:hint="eastAsia" w:ascii="宋体" w:hAnsi="宋体"/>
          <w:sz w:val="21"/>
          <w:szCs w:val="21"/>
          <w:highlight w:val="none"/>
          <w:lang w:val="en-US" w:eastAsia="zh-CN"/>
        </w:rPr>
        <w:t>5、</w:t>
      </w:r>
      <w:r>
        <w:rPr>
          <w:rFonts w:hint="eastAsia" w:ascii="宋体" w:hAnsi="宋体"/>
          <w:sz w:val="21"/>
          <w:szCs w:val="21"/>
          <w:highlight w:val="none"/>
        </w:rPr>
        <w:t>夜间作业时，现场应有良好的照明。</w:t>
      </w:r>
    </w:p>
    <w:p w14:paraId="5F37526A">
      <w:pPr>
        <w:pageBreakBefore w:val="0"/>
        <w:shd w:val="clear"/>
        <w:kinsoku/>
        <w:wordWrap/>
        <w:overflowPunct/>
        <w:autoSpaceDE/>
        <w:autoSpaceDN/>
        <w:bidi w:val="0"/>
        <w:adjustRightInd w:val="0"/>
        <w:snapToGrid w:val="0"/>
        <w:spacing w:line="360" w:lineRule="auto"/>
        <w:ind w:left="149" w:leftChars="71" w:firstLine="420" w:firstLineChars="200"/>
        <w:textAlignment w:val="auto"/>
        <w:rPr>
          <w:rFonts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rPr>
        <w:t>推土机在作业时，严禁人员上下。</w:t>
      </w:r>
    </w:p>
    <w:p w14:paraId="32BC4C99">
      <w:pPr>
        <w:pStyle w:val="10"/>
        <w:pageBreakBefore w:val="0"/>
        <w:shd w:val="clear"/>
        <w:kinsoku/>
        <w:wordWrap/>
        <w:overflowPunct/>
        <w:autoSpaceDE/>
        <w:autoSpaceDN/>
        <w:bidi w:val="0"/>
        <w:adjustRightInd w:val="0"/>
        <w:snapToGrid w:val="0"/>
        <w:spacing w:line="360" w:lineRule="auto"/>
        <w:ind w:firstLine="422" w:firstLineChars="200"/>
        <w:jc w:val="center"/>
        <w:textAlignment w:val="auto"/>
        <w:rPr>
          <w:rFonts w:ascii="宋体" w:hAnsi="宋体" w:cs="宋体"/>
          <w:b/>
          <w:bCs/>
          <w:sz w:val="21"/>
          <w:szCs w:val="21"/>
          <w:highlight w:val="none"/>
        </w:rPr>
      </w:pPr>
      <w:bookmarkStart w:id="50" w:name="_Toc2643"/>
      <w:bookmarkStart w:id="51" w:name="_Toc15362"/>
      <w:bookmarkStart w:id="52" w:name="_Toc1792"/>
      <w:r>
        <w:rPr>
          <w:rFonts w:hint="eastAsia" w:ascii="宋体" w:hAnsi="宋体" w:cs="宋体"/>
          <w:b/>
          <w:bCs/>
          <w:sz w:val="21"/>
          <w:szCs w:val="21"/>
          <w:highlight w:val="none"/>
        </w:rPr>
        <w:t>第十一节 机械操作工安全操作规程</w:t>
      </w:r>
      <w:bookmarkEnd w:id="50"/>
      <w:bookmarkEnd w:id="51"/>
      <w:bookmarkEnd w:id="52"/>
    </w:p>
    <w:p w14:paraId="5ABECBFE">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（一）压刨、园盘锯安全操作规程</w:t>
      </w:r>
    </w:p>
    <w:p w14:paraId="656F869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1、机床只准采用单向开关，不准使用倒顺双向开关，三、四面刨，要按规定程序开动。</w:t>
      </w:r>
    </w:p>
    <w:p w14:paraId="06E56F6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2、送料、接料不准戴手套，并应站在机床一侧</w:t>
      </w:r>
      <w:r>
        <w:rPr>
          <w:rFonts w:ascii="仿宋_GB2312"/>
          <w:sz w:val="21"/>
          <w:szCs w:val="21"/>
          <w:highlight w:val="none"/>
        </w:rPr>
        <w:t>,</w:t>
      </w:r>
      <w:r>
        <w:rPr>
          <w:rFonts w:hint="eastAsia" w:ascii="仿宋_GB2312"/>
          <w:sz w:val="21"/>
          <w:szCs w:val="21"/>
          <w:highlight w:val="none"/>
        </w:rPr>
        <w:t>刨削量每次不得超过5mm。</w:t>
      </w:r>
    </w:p>
    <w:p w14:paraId="69D1E13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3、必须平直发现料走横或卡住，应停机降低台面拨正，遇硬节减慢速度，送料时手必须离开滚筒10厘米以外，接料必须待料走出台面。</w:t>
      </w:r>
    </w:p>
    <w:p w14:paraId="1F95C37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4、料长度不得短于前后压滚距离；厚度小于l厘米的木料，必须垫托板。</w:t>
      </w:r>
    </w:p>
    <w:p w14:paraId="063B298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5、锯护罩要齐全，不得随意拆除。</w:t>
      </w:r>
    </w:p>
    <w:p w14:paraId="6E49BA98">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6、操作前应进行检查，锯片不得有裂口，螺丝应上紧。</w:t>
      </w:r>
    </w:p>
    <w:p w14:paraId="5EF1EC5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7、操作要戴防护镜，站在锯片一侧，禁止站在锯片同一直线上，手臂不得跨越锯片。遇硬节慢推，接料要待料出锯片15厘米，不得用手硬拉。</w:t>
      </w:r>
    </w:p>
    <w:p w14:paraId="4CA5F777">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8、短窄料应用推棍，接料使用刨钩。</w:t>
      </w:r>
    </w:p>
    <w:p w14:paraId="66A8C1D1">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（二）钢筋冷拉机安全操作规程</w:t>
      </w:r>
    </w:p>
    <w:p w14:paraId="22963132">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1、根据冷拉钢筋的直径，合理选用卷扬机，卷扬钢丝绳应经封闭式导向滑轮并和被拉钢筋方向成直角。卷扬机的位置必须使操作人员能见到全部冷拉场地，距离冷拉中线不少于5m。</w:t>
      </w:r>
    </w:p>
    <w:p w14:paraId="2AEAE782">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2、冷拉场地在两端地锚外侧设置警戒区，装设防护栏杆及警告标志。严禁无关人员在此停留。操作人员在作业时必须离开钢筋至少2m以外。</w:t>
      </w:r>
    </w:p>
    <w:p w14:paraId="0B2B3D8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3、用配重控制的设备必须与滑轮匹配，并有指示起落的记号，没有指示记号时应有专人指挥。配重物提起时高度应限制在离地面300mm以内，配重架四周应有栏杆及警告标志。</w:t>
      </w:r>
    </w:p>
    <w:p w14:paraId="30F9DD0E">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4、作业前，应检查冷拉夹具，夹齿必须完好，滑轮、拖拉小车润滑灵活，拉钩、地锚及防护装置均应齐全牢固，确认良好后，方可作业。</w:t>
      </w:r>
    </w:p>
    <w:p w14:paraId="2FC726A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5、卷扬机操作人员必须看到指挥人员发出信号，并待所有人员离开危险区后方可作业。冷拉应缓慢、均匀地进行，随时注意停车信号或见到有人进入危险区时，应立即停拉，并稍稍放松卷扬钢丝绳。</w:t>
      </w:r>
    </w:p>
    <w:p w14:paraId="0016876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6、用延伸率控制的装置，必须装明显的限位标志，并要有专人负责指挥。</w:t>
      </w:r>
    </w:p>
    <w:p w14:paraId="606AD61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7、夜间工作照明设施，应设在张拉危险区外，如必须装设在场地上空时，其高度应超过5m，灯泡应加防护罩，导线不得用裸线。</w:t>
      </w:r>
    </w:p>
    <w:p w14:paraId="6AB9AD7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8、作业后，应放松卷扬钢丝绳，落下配重，切断电源，锁好电闸箱。</w:t>
      </w:r>
    </w:p>
    <w:p w14:paraId="42CECD6B">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（三）钢筋切断机安全操作规程</w:t>
      </w:r>
    </w:p>
    <w:p w14:paraId="2352D11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1、接送料工作台面应和切刀下部保持水平，工作台的长度可根据加工材料长度决定。</w:t>
      </w:r>
    </w:p>
    <w:p w14:paraId="3C7D388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2、启动前，必须检查切刀应无裂纹，刀架螺栓紧固，防护罩牢靠，然后用手转动皮带轮，检查齿轮啮合间隙，调整切刀间隙。</w:t>
      </w:r>
    </w:p>
    <w:p w14:paraId="491381E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3、启动后先空转，检查各传动部分及轴承运转正常后方可作业。</w:t>
      </w:r>
    </w:p>
    <w:p w14:paraId="37CD6DF6">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4、机械未达到正常运转速时不得切料，切料时必须使用切刀的中下部位，紧握钢筋对准切口迅速送入。</w:t>
      </w:r>
    </w:p>
    <w:p w14:paraId="644D930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5、切断短料时，手和切刀之间的距离应保持150mm以上，如手握端小于40mm时应用套管或夹具将钢筋短头压住或夹牢。</w:t>
      </w:r>
    </w:p>
    <w:p w14:paraId="2D2588D7">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6、发现机械运转不正常有异响或切刀歪斜等情况，应立即停机检修。</w:t>
      </w:r>
    </w:p>
    <w:p w14:paraId="51C3314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7、作业后用钢刷清除切刀间的杂物，进行整机清洁保养。</w:t>
      </w:r>
    </w:p>
    <w:p w14:paraId="1346C875">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8、必须严格按操作规程操作。</w:t>
      </w:r>
    </w:p>
    <w:p w14:paraId="3EFEFFF5">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（四）钢筋调直机安全操作规程</w:t>
      </w:r>
    </w:p>
    <w:p w14:paraId="10F9FA1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1、机械上不准堆放物品，以防机械震动落入机体。</w:t>
      </w:r>
    </w:p>
    <w:p w14:paraId="7070EFDD">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2、料架、料槽应安装平直，对准导向筒、调直筒和下切刀孔的中心线。</w:t>
      </w:r>
    </w:p>
    <w:p w14:paraId="160BEB6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3、用手转动飞轮，检查传动机构和工作装置，调整间隙，紧固螺栓，确认正常后，启动空运转，检查轴承应无异响，齿轮啮合良好，待运转正常后，方可作业。</w:t>
      </w:r>
    </w:p>
    <w:p w14:paraId="0326909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4、按调直钢筋的直径，选用适当的调直块及传动速度。经调试合格，方可送料。</w:t>
      </w:r>
    </w:p>
    <w:p w14:paraId="104FC9D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5、在调直块未固定、防护罩未盖好前不得送料。作业中严禁打开各部防护罩及调整间隙。</w:t>
      </w:r>
    </w:p>
    <w:p w14:paraId="539EB78E">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 xml:space="preserve">6、当钢筋送入后，手与曳轮必须保持一定距离，不得接近。  </w:t>
      </w:r>
    </w:p>
    <w:p w14:paraId="7D5A283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7、送料前应将不直的料头切去，导向筒前应装一根1m长的钢管，钢筋必须先穿过钢管再送入调直前端的导孔内。</w:t>
      </w:r>
    </w:p>
    <w:p w14:paraId="31855BCD">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8、钢筋调直到末端时，操作人员必须躲开，以防甩动伤人。</w:t>
      </w:r>
    </w:p>
    <w:p w14:paraId="46B0DDE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9、短于2米或直径大于9毫米的钢筋调直，应低速加工。</w:t>
      </w:r>
    </w:p>
    <w:p w14:paraId="380D707E">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10、作业后，应松开调直筒的调直块并回到原来位置，同时预压弹簧必须回位。</w:t>
      </w:r>
    </w:p>
    <w:p w14:paraId="6EB29CD5">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（五）钢筋弯曲机安全操作规程</w:t>
      </w:r>
    </w:p>
    <w:p w14:paraId="38A408D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1、工作台和弯曲机台面要保持水平，并准备好各种芯轴及工具。</w:t>
      </w:r>
    </w:p>
    <w:p w14:paraId="56BAE24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2、按加工钢筋的直径和弯曲半径的要求装好芯轴、成型轴、挡铁轴或可变挡架，芯轴直径应为钢筋直径的2.5倍。</w:t>
      </w:r>
    </w:p>
    <w:p w14:paraId="2E6AFA5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3、检查芯轴、挡块、转盘应无损坏和裂纹，防护罩紧固可靠，经空运转确认正常后，方可作业。</w:t>
      </w:r>
    </w:p>
    <w:p w14:paraId="1026FF50">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4、钢筋要贴紧挡板，注意放入插头的位置和回转方向，不得开错。</w:t>
      </w:r>
    </w:p>
    <w:p w14:paraId="6DA7864D">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 xml:space="preserve">5、作业时，将钢筋需弯的一头插在转盘固定销的间隙内，另一端紧靠机身固定销，并用手压紧，检查机身固定销子确实安在挡住钢筋的一侧，方可开动。  </w:t>
      </w:r>
    </w:p>
    <w:p w14:paraId="56FC0F1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6、作业中，严禁更换芯轴、销子和变换角度以及调速等作业，亦不得加油或清扫。</w:t>
      </w:r>
    </w:p>
    <w:p w14:paraId="45C120E8">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7、弯曲钢筋时，严禁超过本机规定的钢筋直径、根数及机械转速。</w:t>
      </w:r>
    </w:p>
    <w:p w14:paraId="03C1320E">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8、弯曲长钢筋，应有专人扶住，并站在钢筋弯曲方向的外面，互相配合，不得拖拉。</w:t>
      </w:r>
    </w:p>
    <w:p w14:paraId="68DD5302">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9、调头弯曲，防止碰撞人和物。更换插头，加油和清理，必须停机后进行。</w:t>
      </w:r>
    </w:p>
    <w:p w14:paraId="33360BE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10、弯曲高强度或低合金钢筋时，应按机械铭牌规定换算最大限制直径并调换相应的芯轴。</w:t>
      </w:r>
    </w:p>
    <w:p w14:paraId="542E571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lang w:val="en-US" w:eastAsia="zh-CN"/>
        </w:rPr>
        <w:t>11</w:t>
      </w:r>
      <w:r>
        <w:rPr>
          <w:rFonts w:hint="eastAsia" w:ascii="仿宋_GB2312"/>
          <w:sz w:val="21"/>
          <w:szCs w:val="21"/>
          <w:highlight w:val="none"/>
        </w:rPr>
        <w:t>、严禁在弯曲钢筋的作业半径内和机身不设固定销的一侧站人。弯曲好的半成品应堆放整齐，弯钩不得朝上。</w:t>
      </w:r>
    </w:p>
    <w:p w14:paraId="38662C0E">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12、转盘换向时，必须在停稳后进行。</w:t>
      </w:r>
    </w:p>
    <w:p w14:paraId="0B369CE4">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sz w:val="21"/>
          <w:szCs w:val="21"/>
          <w:highlight w:val="none"/>
        </w:rPr>
      </w:pPr>
      <w:r>
        <w:rPr>
          <w:rFonts w:hint="eastAsia" w:ascii="仿宋_GB2312"/>
          <w:b/>
          <w:bCs/>
          <w:sz w:val="21"/>
          <w:szCs w:val="21"/>
          <w:highlight w:val="none"/>
        </w:rPr>
        <w:t>（六）钢筋电渣压力焊机安全操作规程</w:t>
      </w:r>
    </w:p>
    <w:p w14:paraId="6BB0933A">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1、应根据施焊钢筋直径选择具有足够输出电流的电焊机。电源电缆和控制电缆联接应正确、牢固。控制箱的外壳应牢靠接地。</w:t>
      </w:r>
    </w:p>
    <w:p w14:paraId="39671D2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2、施焊前，应检查供电电压并确认正常，当一次电压降大于8％时，不宜焊接。焊接导线长度不得大于30m，截面面积不得小于50mm</w:t>
      </w:r>
      <w:r>
        <w:rPr>
          <w:rFonts w:hint="eastAsia" w:ascii="仿宋_GB2312"/>
          <w:sz w:val="21"/>
          <w:szCs w:val="21"/>
          <w:highlight w:val="none"/>
          <w:vertAlign w:val="superscript"/>
        </w:rPr>
        <w:t>2</w:t>
      </w:r>
      <w:r>
        <w:rPr>
          <w:rFonts w:hint="eastAsia" w:ascii="仿宋_GB2312"/>
          <w:sz w:val="21"/>
          <w:szCs w:val="21"/>
          <w:highlight w:val="none"/>
        </w:rPr>
        <w:t>。</w:t>
      </w:r>
    </w:p>
    <w:p w14:paraId="52853B47">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3、施焊前应检查并确认电源及控制电路正常，定时准确，误差不大于5％，机具的传动系统、夹装系统及焊钳的转动部分灵活自如，焊剂已干燥，所需附件齐全。</w:t>
      </w:r>
    </w:p>
    <w:p w14:paraId="3A63EA3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4、施焊前，应按所焊钢筋的直径，根据参数表，标定好所需的电源和时间。一般情况下，时间(s)可为钢筋的直径数(mm)，电流(A)可为钢筋直径的10倍数(mm)。</w:t>
      </w:r>
    </w:p>
    <w:p w14:paraId="1E0C01C2">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 xml:space="preserve">5、起弧前，上、下钢筋应对齐，钢筋端头应接触良好。对锈蚀粘有水泥的钢筋，应采用钢丝刷清除，并保证导电良好。 </w:t>
      </w:r>
    </w:p>
    <w:p w14:paraId="6F75856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6、施焊过程中，应随时检查焊接质量，当发现倾斜、偏心、未熔合、有气孔等现象时，应重新施焊。</w:t>
      </w:r>
    </w:p>
    <w:p w14:paraId="605FEF0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7、每个接头焊完后，应停留5～6min保温；寒冷季节应适当延长。当拆下机具时，应扶住钢筋，过热的接头不得过于受力。焊渣应待完全冷却后清除。</w:t>
      </w:r>
    </w:p>
    <w:p w14:paraId="2321FF0B">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（七）卷扬机安全操作规程</w:t>
      </w:r>
    </w:p>
    <w:p w14:paraId="51EC8B97">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w:t>
      </w:r>
      <w:r>
        <w:rPr>
          <w:rFonts w:hint="eastAsia"/>
          <w:sz w:val="21"/>
          <w:szCs w:val="21"/>
          <w:highlight w:val="none"/>
        </w:rPr>
        <w:t>卷</w:t>
      </w:r>
      <w:r>
        <w:rPr>
          <w:rFonts w:hint="eastAsia" w:ascii="仿宋_GB2312"/>
          <w:sz w:val="21"/>
          <w:szCs w:val="21"/>
          <w:highlight w:val="none"/>
        </w:rPr>
        <w:t>扬机操作手必须熟悉本机械的性能、构造、操作方法。持证上岗。</w:t>
      </w:r>
    </w:p>
    <w:p w14:paraId="3F9A23D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2、操作前，要检查卷扬机的地锚、上料架是否牢固，同时要检查离合器、制动器是否灵敏可靠。外露皮带、齿轮等传动装置、防护罩是否齐全。</w:t>
      </w:r>
    </w:p>
    <w:p w14:paraId="13972EE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 xml:space="preserve">3、钢丝绳排列要整齐，在提升吊兰的过程中，在卷筒上  至少要保留3～5圈，钢丝绳的磨损程度不超过10％，通过滑轮的钢丝绳不能有接头。 </w:t>
      </w:r>
    </w:p>
    <w:p w14:paraId="0BBCE46B">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4、卷扬机应有专人使用和保养，经常检查接地线路是否良好，如发现电气设备漏电或其他故障时及时报告工长。不得擅自修理。</w:t>
      </w:r>
    </w:p>
    <w:p w14:paraId="43B31C68">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5、吊篮必须装有安全门，只能提升物料，严禁载人。吊篮在空中停留，除使用制动器外，同时要用停放架垫好。严禁有人跨越钢丝绳在吊篮下面行走。</w:t>
      </w:r>
    </w:p>
    <w:p w14:paraId="10556516">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6、上料架必须有良好的接地和避雷装置。每周要检查一次限位器是否灵活可靠。吊篮提重物时，砖、灰不能超过0.5吨，严禁运送超重、超长物品。</w:t>
      </w:r>
    </w:p>
    <w:p w14:paraId="60CDD1D6">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7、作业中停电时，应切断电源。将提升物件或吊兰篮降至地面。</w:t>
      </w:r>
    </w:p>
    <w:p w14:paraId="7FCAFA7C">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8、操作完毕，应将提升吊篮或物件降至地面，并应切断电源，锁好开关箱。</w:t>
      </w:r>
    </w:p>
    <w:p w14:paraId="18807A31">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（八）翻斗车安全操作规程</w:t>
      </w:r>
    </w:p>
    <w:p w14:paraId="05EBB5C6">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1、行驶前，应检查锁紧装置，并将料斗锁牢，不得在行驶时掉斗。</w:t>
      </w:r>
    </w:p>
    <w:p w14:paraId="0539632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2、行驶时应从一档起步，不得用离合器处于半结合状态来控制车速。</w:t>
      </w:r>
    </w:p>
    <w:p w14:paraId="746BE90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3、翻斗制动时，应逐渐踏下制动踏板，并应避免紧急制动。</w:t>
      </w:r>
    </w:p>
    <w:p w14:paraId="1B0C628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4、严禁料斗内载人，料斗不得在卸料情况下行驶或进行平地作业。</w:t>
      </w:r>
    </w:p>
    <w:p w14:paraId="207524C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5、内燃机运转或料斗内载荷时，严禁在车底下进行任何作业。</w:t>
      </w:r>
    </w:p>
    <w:p w14:paraId="500560C2">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6、操作人员离机时，应将内燃机熄火，并摘档拉紧手制动器。</w:t>
      </w:r>
    </w:p>
    <w:p w14:paraId="1D96E574">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7、作业后，应对车辆进行清洗，清除砂土及混凝土等粘结在料斗和车架上的脏物。</w:t>
      </w:r>
    </w:p>
    <w:p w14:paraId="7F1EF317">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（九）打夯机安全操作规程</w:t>
      </w:r>
    </w:p>
    <w:p w14:paraId="6DCD7FBE">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1、夯机使用前检查绝缘线路、漏电保护器、定向开关、皮带、偏心块等，确认无问题方可使用。</w:t>
      </w:r>
    </w:p>
    <w:p w14:paraId="62329B01">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2、夯机操作时，要两人操作：一人扶夯机，一人整理线路，防止夯头夯打电源线。</w:t>
      </w:r>
    </w:p>
    <w:p w14:paraId="64230EC8">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3、夯机拐弯时，不得猛拐和撒把不扶任其自由行走。</w:t>
      </w:r>
    </w:p>
    <w:p w14:paraId="3FF96C08">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4、夯机作业时，机前2米内不得有人，多台夯机夯打时，其左右距离不得小于5米，作业人员穿绝缘鞋、戴绝缘手套。</w:t>
      </w:r>
    </w:p>
    <w:p w14:paraId="33A7019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5、随机的电源线应保持3-4米的余量，发现电源线缠绕、破裂时要及时断电，停止作业，马上修理。</w:t>
      </w:r>
    </w:p>
    <w:p w14:paraId="0173487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6、挪夯机前要断电，绑好偏心块，盘好缆线。工作完后断电锁好，放在干燥处。</w:t>
      </w:r>
    </w:p>
    <w:p w14:paraId="3E9077CE">
      <w:pPr>
        <w:pageBreakBefore w:val="0"/>
        <w:shd w:val="clear"/>
        <w:kinsoku/>
        <w:wordWrap/>
        <w:overflowPunct/>
        <w:autoSpaceDE/>
        <w:autoSpaceDN/>
        <w:bidi w:val="0"/>
        <w:adjustRightInd w:val="0"/>
        <w:snapToGrid w:val="0"/>
        <w:spacing w:line="360" w:lineRule="auto"/>
        <w:ind w:firstLine="422" w:firstLineChars="200"/>
        <w:textAlignment w:val="auto"/>
        <w:rPr>
          <w:rFonts w:ascii="仿宋_GB2312"/>
          <w:b/>
          <w:bCs/>
          <w:sz w:val="21"/>
          <w:szCs w:val="21"/>
          <w:highlight w:val="none"/>
        </w:rPr>
      </w:pPr>
      <w:r>
        <w:rPr>
          <w:rFonts w:hint="eastAsia" w:ascii="仿宋_GB2312"/>
          <w:b/>
          <w:bCs/>
          <w:sz w:val="21"/>
          <w:szCs w:val="21"/>
          <w:highlight w:val="none"/>
        </w:rPr>
        <w:t>（十）砼振捣器安全操作规程</w:t>
      </w:r>
    </w:p>
    <w:p w14:paraId="7BE59433">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1、在使用前检查部件和软轴接线是否正确，试运转后，方可使用。</w:t>
      </w:r>
    </w:p>
    <w:p w14:paraId="1A579459">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2、单设电源线和电源箱，箱内要有漏电保护器，电机外壳做好接零保护。工作时两人操作：一人持棒，一人看电机，随时挪电机不得拖拉。</w:t>
      </w:r>
    </w:p>
    <w:p w14:paraId="64D912E7">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3、操作人员穿绝缘鞋、戴绝缘手套。</w:t>
      </w:r>
    </w:p>
    <w:p w14:paraId="05B456FF">
      <w:pPr>
        <w:pageBreakBefore w:val="0"/>
        <w:shd w:val="clear"/>
        <w:kinsoku/>
        <w:wordWrap/>
        <w:overflowPunct/>
        <w:autoSpaceDE/>
        <w:autoSpaceDN/>
        <w:bidi w:val="0"/>
        <w:adjustRightInd w:val="0"/>
        <w:snapToGrid w:val="0"/>
        <w:spacing w:line="360" w:lineRule="auto"/>
        <w:ind w:firstLine="420" w:firstLineChars="200"/>
        <w:textAlignment w:val="auto"/>
        <w:rPr>
          <w:rFonts w:ascii="仿宋_GB2312"/>
          <w:sz w:val="21"/>
          <w:szCs w:val="21"/>
          <w:highlight w:val="none"/>
        </w:rPr>
      </w:pPr>
      <w:r>
        <w:rPr>
          <w:rFonts w:hint="eastAsia" w:ascii="仿宋_GB2312"/>
          <w:sz w:val="21"/>
          <w:szCs w:val="21"/>
          <w:highlight w:val="none"/>
        </w:rPr>
        <w:t>4、振捣器软轴弯曲半径不得小于50厘米，并不得多于2个弯，操作时振捣棒自然垂直地沉入砼，不得用力硬插，斜推或使钢筋加住棒头，也不得全部插入砼中。</w:t>
      </w:r>
    </w:p>
    <w:p w14:paraId="5812103F">
      <w:pPr>
        <w:adjustRightInd w:val="0"/>
        <w:snapToGrid w:val="0"/>
        <w:spacing w:line="360" w:lineRule="auto"/>
        <w:rPr>
          <w:rFonts w:hint="eastAsia" w:ascii="仿宋_GB2312"/>
          <w:sz w:val="21"/>
          <w:szCs w:val="21"/>
          <w:highlight w:val="none"/>
        </w:rPr>
      </w:pPr>
      <w:r>
        <w:rPr>
          <w:rFonts w:hint="eastAsia" w:ascii="仿宋_GB2312"/>
          <w:sz w:val="21"/>
          <w:szCs w:val="21"/>
          <w:highlight w:val="none"/>
        </w:rPr>
        <w:t>5、用完的振捣棒先断电，再盘好缆线，电机放在干燥处防止受潮造成电机烧毁现象。</w:t>
      </w:r>
    </w:p>
    <w:p w14:paraId="3210FF3F">
      <w:pPr>
        <w:adjustRightInd w:val="0"/>
        <w:snapToGrid w:val="0"/>
        <w:spacing w:line="360" w:lineRule="auto"/>
        <w:jc w:val="both"/>
        <w:rPr>
          <w:rFonts w:hint="eastAsia" w:ascii="仿宋" w:hAnsi="仿宋" w:eastAsia="仿宋" w:cs="仿宋"/>
          <w:b/>
          <w:bCs/>
          <w:sz w:val="30"/>
          <w:szCs w:val="30"/>
        </w:rPr>
      </w:pPr>
    </w:p>
    <w:p w14:paraId="3E79D7DD">
      <w:pPr>
        <w:adjustRightInd w:val="0"/>
        <w:snapToGrid w:val="0"/>
        <w:spacing w:line="360" w:lineRule="auto"/>
        <w:ind w:firstLine="602" w:firstLineChars="200"/>
        <w:jc w:val="center"/>
        <w:rPr>
          <w:rFonts w:hint="default" w:ascii="仿宋" w:hAnsi="仿宋" w:eastAsia="仿宋" w:cs="仿宋"/>
          <w:b/>
          <w:bCs/>
          <w:sz w:val="30"/>
          <w:szCs w:val="30"/>
          <w:lang w:val="en-US" w:eastAsia="zh-CN"/>
        </w:rPr>
      </w:pPr>
      <w:r>
        <w:rPr>
          <w:rFonts w:hint="eastAsia" w:ascii="仿宋" w:hAnsi="仿宋" w:eastAsia="仿宋" w:cs="仿宋"/>
          <w:b/>
          <w:bCs/>
          <w:sz w:val="30"/>
          <w:szCs w:val="30"/>
        </w:rPr>
        <w:t xml:space="preserve">第四章  </w:t>
      </w:r>
      <w:r>
        <w:rPr>
          <w:rFonts w:hint="eastAsia" w:ascii="仿宋" w:hAnsi="仿宋" w:eastAsia="仿宋" w:cs="仿宋"/>
          <w:b/>
          <w:bCs/>
          <w:sz w:val="30"/>
          <w:szCs w:val="30"/>
          <w:lang w:val="en-US" w:eastAsia="zh-CN"/>
        </w:rPr>
        <w:t>施工方案及控制价清单</w:t>
      </w:r>
    </w:p>
    <w:p w14:paraId="712BB694">
      <w:pPr>
        <w:numPr>
          <w:ilvl w:val="0"/>
          <w:numId w:val="7"/>
        </w:numPr>
        <w:adjustRightInd w:val="0"/>
        <w:snapToGrid w:val="0"/>
        <w:spacing w:line="360" w:lineRule="auto"/>
        <w:rPr>
          <w:rFonts w:hint="eastAsia" w:ascii="仿宋_GB2312"/>
          <w:sz w:val="24"/>
          <w:highlight w:val="none"/>
          <w:lang w:val="en-US" w:eastAsia="zh-CN"/>
        </w:rPr>
      </w:pPr>
      <w:r>
        <w:rPr>
          <w:rFonts w:hint="eastAsia" w:ascii="仿宋_GB2312"/>
          <w:sz w:val="24"/>
          <w:highlight w:val="none"/>
          <w:lang w:val="en-US" w:eastAsia="zh-CN"/>
        </w:rPr>
        <w:t>施工方案说明</w:t>
      </w:r>
    </w:p>
    <w:p w14:paraId="5635CF23">
      <w:pPr>
        <w:ind w:firstLine="480" w:firstLineChars="2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一期高压间南侧隔断</w:t>
      </w:r>
      <w:r>
        <w:rPr>
          <w:rFonts w:hint="eastAsia" w:ascii="宋体" w:hAnsi="宋体" w:cs="宋体"/>
          <w:color w:val="auto"/>
          <w:sz w:val="24"/>
          <w:szCs w:val="24"/>
          <w:lang w:val="en-US" w:eastAsia="zh-CN"/>
        </w:rPr>
        <w:t>拆除</w:t>
      </w:r>
      <w:r>
        <w:rPr>
          <w:rFonts w:hint="eastAsia" w:ascii="宋体" w:hAnsi="宋体" w:eastAsia="宋体" w:cs="宋体"/>
          <w:color w:val="auto"/>
          <w:sz w:val="24"/>
          <w:szCs w:val="24"/>
          <w:lang w:val="en-US" w:eastAsia="zh-CN"/>
        </w:rPr>
        <w:t>，更改为砌筑墙体封堵，</w:t>
      </w:r>
      <w:r>
        <w:rPr>
          <w:rFonts w:hint="eastAsia" w:ascii="宋体" w:hAnsi="宋体" w:cs="宋体"/>
          <w:color w:val="auto"/>
          <w:sz w:val="24"/>
          <w:szCs w:val="24"/>
          <w:lang w:val="en-US" w:eastAsia="zh-CN"/>
        </w:rPr>
        <w:t>预留2.88m*2.27m的铁门位置其他地方24cm砖墙砌筑。</w:t>
      </w:r>
    </w:p>
    <w:p w14:paraId="22D901A4">
      <w:pPr>
        <w:numPr>
          <w:ilvl w:val="0"/>
          <w:numId w:val="0"/>
        </w:numPr>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一期高压间东墙窗户为老式铝合金窗户更换为断桥铝窗户。</w:t>
      </w:r>
      <w:r>
        <w:rPr>
          <w:rFonts w:hint="eastAsia" w:ascii="宋体" w:hAnsi="宋体" w:cs="宋体"/>
          <w:color w:val="auto"/>
          <w:sz w:val="24"/>
          <w:szCs w:val="24"/>
          <w:lang w:val="en-US" w:eastAsia="zh-CN"/>
        </w:rPr>
        <w:t>三扇窗户尺寸：</w:t>
      </w:r>
      <w:r>
        <w:rPr>
          <w:rFonts w:hint="eastAsia" w:ascii="宋体" w:hAnsi="宋体" w:eastAsia="宋体" w:cs="宋体"/>
          <w:color w:val="auto"/>
          <w:sz w:val="24"/>
          <w:szCs w:val="24"/>
          <w:lang w:val="en-US" w:eastAsia="zh-CN"/>
        </w:rPr>
        <w:t>2.34m*1.75m</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2.35m*1.72m</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2.34m*1.74m，</w:t>
      </w:r>
      <w:r>
        <w:rPr>
          <w:rFonts w:hint="eastAsia" w:ascii="宋体" w:hAnsi="宋体" w:cs="宋体"/>
          <w:color w:val="auto"/>
          <w:sz w:val="24"/>
          <w:szCs w:val="24"/>
          <w:lang w:val="en-US" w:eastAsia="zh-CN"/>
        </w:rPr>
        <w:t>同时加装</w:t>
      </w:r>
      <w:r>
        <w:rPr>
          <w:rFonts w:hint="eastAsia" w:ascii="宋体" w:hAnsi="宋体" w:eastAsia="宋体" w:cs="宋体"/>
          <w:color w:val="auto"/>
          <w:sz w:val="24"/>
          <w:szCs w:val="24"/>
          <w:lang w:val="en-US" w:eastAsia="zh-CN"/>
        </w:rPr>
        <w:t>符合安全要求的高密度防鸟网</w:t>
      </w:r>
      <w:r>
        <w:rPr>
          <w:rFonts w:hint="eastAsia" w:ascii="宋体" w:hAnsi="宋体" w:cs="宋体"/>
          <w:color w:val="auto"/>
          <w:sz w:val="24"/>
          <w:szCs w:val="24"/>
          <w:lang w:val="en-US" w:eastAsia="zh-CN"/>
        </w:rPr>
        <w:t>。</w:t>
      </w:r>
    </w:p>
    <w:p w14:paraId="13FB11DF">
      <w:pPr>
        <w:tabs>
          <w:tab w:val="left" w:pos="1716"/>
        </w:tabs>
        <w:bidi w:val="0"/>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一期低压间两扇木门与一期变频器室一扇木门更换为</w:t>
      </w:r>
      <w:r>
        <w:rPr>
          <w:rFonts w:hint="eastAsia" w:ascii="宋体" w:hAnsi="宋体" w:cs="宋体"/>
          <w:color w:val="auto"/>
          <w:sz w:val="24"/>
          <w:szCs w:val="24"/>
          <w:lang w:val="en-US" w:eastAsia="zh-CN"/>
        </w:rPr>
        <w:t>甲级</w:t>
      </w:r>
      <w:r>
        <w:rPr>
          <w:rFonts w:hint="eastAsia" w:ascii="宋体" w:hAnsi="宋体" w:eastAsia="宋体" w:cs="宋体"/>
          <w:color w:val="auto"/>
          <w:sz w:val="24"/>
          <w:szCs w:val="24"/>
          <w:lang w:val="en-US" w:eastAsia="zh-CN"/>
        </w:rPr>
        <w:t>防火门三扇门尺寸为</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2.47m*1.47m</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2.47m*1.47m</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2.48m*1.48m</w:t>
      </w:r>
      <w:r>
        <w:rPr>
          <w:rFonts w:hint="eastAsia" w:ascii="宋体" w:hAnsi="宋体" w:cs="宋体"/>
          <w:color w:val="auto"/>
          <w:sz w:val="24"/>
          <w:szCs w:val="24"/>
          <w:lang w:val="en-US" w:eastAsia="zh-CN"/>
        </w:rPr>
        <w:t>。</w:t>
      </w:r>
    </w:p>
    <w:p w14:paraId="48FB981C">
      <w:pPr>
        <w:numPr>
          <w:ilvl w:val="0"/>
          <w:numId w:val="0"/>
        </w:numPr>
        <w:tabs>
          <w:tab w:val="left" w:pos="1716"/>
        </w:tabs>
        <w:bidi w:val="0"/>
        <w:ind w:leftChars="0"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en-US" w:eastAsia="zh-CN"/>
        </w:rPr>
        <w:t>二期高压变频器室东门及南门都为塑钢门更换为</w:t>
      </w:r>
      <w:r>
        <w:rPr>
          <w:rFonts w:hint="eastAsia" w:ascii="宋体" w:hAnsi="宋体" w:cs="宋体"/>
          <w:color w:val="auto"/>
          <w:sz w:val="24"/>
          <w:szCs w:val="24"/>
          <w:lang w:val="en-US" w:eastAsia="zh-CN"/>
        </w:rPr>
        <w:t>甲级</w:t>
      </w:r>
      <w:r>
        <w:rPr>
          <w:rFonts w:hint="eastAsia" w:ascii="宋体" w:hAnsi="宋体" w:eastAsia="宋体" w:cs="宋体"/>
          <w:color w:val="auto"/>
          <w:sz w:val="24"/>
          <w:szCs w:val="24"/>
          <w:lang w:val="en-US" w:eastAsia="zh-CN"/>
        </w:rPr>
        <w:t>防火门，</w:t>
      </w:r>
      <w:r>
        <w:rPr>
          <w:rFonts w:hint="eastAsia" w:ascii="宋体" w:hAnsi="宋体" w:cs="宋体"/>
          <w:color w:val="auto"/>
          <w:sz w:val="24"/>
          <w:szCs w:val="24"/>
          <w:lang w:val="en-US" w:eastAsia="zh-CN"/>
        </w:rPr>
        <w:t>尺寸为：</w:t>
      </w:r>
      <w:r>
        <w:rPr>
          <w:rFonts w:hint="eastAsia" w:ascii="宋体" w:hAnsi="宋体" w:eastAsia="宋体" w:cs="宋体"/>
          <w:color w:val="auto"/>
          <w:sz w:val="24"/>
          <w:szCs w:val="24"/>
          <w:lang w:val="en-US" w:eastAsia="zh-CN"/>
        </w:rPr>
        <w:t>2.95m*1.8m</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2.36m*0.99m</w:t>
      </w:r>
      <w:r>
        <w:rPr>
          <w:rFonts w:hint="eastAsia" w:ascii="宋体" w:hAnsi="宋体" w:cs="宋体"/>
          <w:color w:val="auto"/>
          <w:sz w:val="24"/>
          <w:szCs w:val="24"/>
          <w:lang w:val="en-US" w:eastAsia="zh-CN"/>
        </w:rPr>
        <w:t>。</w:t>
      </w:r>
    </w:p>
    <w:p w14:paraId="7DB0D7B5">
      <w:pPr>
        <w:numPr>
          <w:ilvl w:val="0"/>
          <w:numId w:val="0"/>
        </w:numPr>
        <w:tabs>
          <w:tab w:val="left" w:pos="1716"/>
        </w:tabs>
        <w:bidi w:val="0"/>
        <w:ind w:leftChars="0"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三期值班室门更换为断桥铝门，尺寸</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2.68m*0.86m</w:t>
      </w:r>
      <w:r>
        <w:rPr>
          <w:rFonts w:hint="eastAsia" w:ascii="宋体" w:hAnsi="宋体" w:cs="宋体"/>
          <w:color w:val="auto"/>
          <w:sz w:val="24"/>
          <w:szCs w:val="24"/>
          <w:lang w:val="en-US" w:eastAsia="zh-CN"/>
        </w:rPr>
        <w:t>。</w:t>
      </w:r>
    </w:p>
    <w:p w14:paraId="45C66002">
      <w:pPr>
        <w:numPr>
          <w:ilvl w:val="0"/>
          <w:numId w:val="0"/>
        </w:numPr>
        <w:tabs>
          <w:tab w:val="left" w:pos="1716"/>
        </w:tabs>
        <w:bidi w:val="0"/>
        <w:ind w:leftChars="0"/>
        <w:jc w:val="left"/>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三期高压间及变频间窗户更换为断桥铝窗户</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尺寸为</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1.43m*2.03m</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1.44m*2.05m</w:t>
      </w:r>
      <w:r>
        <w:rPr>
          <w:rFonts w:hint="eastAsia" w:ascii="宋体" w:hAnsi="宋体" w:cs="宋体"/>
          <w:color w:val="auto"/>
          <w:sz w:val="24"/>
          <w:szCs w:val="24"/>
          <w:lang w:val="en-US" w:eastAsia="zh-CN"/>
        </w:rPr>
        <w:t>。</w:t>
      </w:r>
    </w:p>
    <w:p w14:paraId="1D533083">
      <w:pPr>
        <w:numPr>
          <w:ilvl w:val="0"/>
          <w:numId w:val="0"/>
        </w:numPr>
        <w:tabs>
          <w:tab w:val="left" w:pos="1716"/>
        </w:tabs>
        <w:bidi w:val="0"/>
        <w:ind w:leftChars="0"/>
        <w:jc w:val="left"/>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注：其他相关要求参照控制价项目特征</w:t>
      </w:r>
    </w:p>
    <w:p w14:paraId="204DBB4E">
      <w:pPr>
        <w:numPr>
          <w:ilvl w:val="0"/>
          <w:numId w:val="0"/>
        </w:numPr>
        <w:adjustRightInd w:val="0"/>
        <w:snapToGrid w:val="0"/>
        <w:spacing w:line="360" w:lineRule="auto"/>
        <w:rPr>
          <w:rFonts w:hint="eastAsia" w:ascii="仿宋_GB2312"/>
          <w:sz w:val="24"/>
          <w:highlight w:val="none"/>
          <w:lang w:val="en-US" w:eastAsia="zh-CN"/>
        </w:rPr>
      </w:pPr>
    </w:p>
    <w:p w14:paraId="3CD3CBE4">
      <w:pPr>
        <w:numPr>
          <w:ilvl w:val="0"/>
          <w:numId w:val="0"/>
        </w:numPr>
        <w:adjustRightInd w:val="0"/>
        <w:snapToGrid w:val="0"/>
        <w:spacing w:line="360" w:lineRule="auto"/>
        <w:rPr>
          <w:rFonts w:hint="eastAsia" w:ascii="仿宋_GB2312"/>
          <w:sz w:val="24"/>
          <w:highlight w:val="none"/>
          <w:lang w:val="en-US" w:eastAsia="zh-CN"/>
        </w:rPr>
      </w:pPr>
    </w:p>
    <w:p w14:paraId="4ED63F0C">
      <w:pPr>
        <w:numPr>
          <w:ilvl w:val="0"/>
          <w:numId w:val="0"/>
        </w:numPr>
        <w:adjustRightInd w:val="0"/>
        <w:snapToGrid w:val="0"/>
        <w:spacing w:line="360" w:lineRule="auto"/>
        <w:rPr>
          <w:rFonts w:hint="eastAsia" w:ascii="仿宋_GB2312"/>
          <w:sz w:val="24"/>
          <w:highlight w:val="none"/>
          <w:lang w:val="en-US" w:eastAsia="zh-CN"/>
        </w:rPr>
      </w:pPr>
    </w:p>
    <w:p w14:paraId="08D8F6B2">
      <w:pPr>
        <w:numPr>
          <w:ilvl w:val="0"/>
          <w:numId w:val="0"/>
        </w:numPr>
        <w:adjustRightInd w:val="0"/>
        <w:snapToGrid w:val="0"/>
        <w:spacing w:line="360" w:lineRule="auto"/>
        <w:rPr>
          <w:rFonts w:hint="eastAsia" w:ascii="仿宋_GB2312"/>
          <w:sz w:val="24"/>
          <w:highlight w:val="none"/>
          <w:lang w:val="en-US" w:eastAsia="zh-CN"/>
        </w:rPr>
      </w:pPr>
    </w:p>
    <w:p w14:paraId="4FD951DC">
      <w:pPr>
        <w:rPr>
          <w:rFonts w:hint="default"/>
          <w:lang w:val="en-US" w:eastAsia="zh-CN"/>
        </w:rPr>
      </w:pPr>
      <w:r>
        <w:rPr>
          <w:rFonts w:hint="eastAsia"/>
          <w:sz w:val="24"/>
          <w:szCs w:val="24"/>
          <w:lang w:val="en-US" w:eastAsia="zh-CN"/>
        </w:rPr>
        <w:t>二</w:t>
      </w:r>
      <w:r>
        <w:rPr>
          <w:rFonts w:hint="eastAsia"/>
          <w:lang w:val="en-US" w:eastAsia="zh-CN"/>
        </w:rPr>
        <w:t>、</w:t>
      </w:r>
      <w:r>
        <w:rPr>
          <w:rFonts w:hint="eastAsia" w:ascii="仿宋_GB2312"/>
          <w:sz w:val="24"/>
          <w:highlight w:val="none"/>
          <w:lang w:val="en-US" w:eastAsia="zh-CN"/>
        </w:rPr>
        <w:t>控制价清单</w:t>
      </w:r>
    </w:p>
    <w:tbl>
      <w:tblPr>
        <w:tblStyle w:val="12"/>
        <w:tblW w:w="10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4"/>
        <w:gridCol w:w="2651"/>
        <w:gridCol w:w="2827"/>
        <w:gridCol w:w="705"/>
        <w:gridCol w:w="990"/>
        <w:gridCol w:w="893"/>
        <w:gridCol w:w="1020"/>
      </w:tblGrid>
      <w:tr w14:paraId="752F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0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84F0">
            <w:pPr>
              <w:keepNext w:val="0"/>
              <w:keepLines w:val="0"/>
              <w:widowControl/>
              <w:suppressLineNumbers w:val="0"/>
              <w:jc w:val="center"/>
              <w:textAlignment w:val="center"/>
              <w:rPr>
                <w:rFonts w:hint="default" w:ascii="宋体" w:hAnsi="宋体" w:eastAsia="宋体" w:cs="宋体"/>
                <w:i w:val="0"/>
                <w:iCs w:val="0"/>
                <w:color w:val="000000"/>
                <w:sz w:val="32"/>
                <w:szCs w:val="32"/>
                <w:u w:val="none"/>
                <w:lang w:val="en-US"/>
              </w:rPr>
            </w:pPr>
            <w:r>
              <w:rPr>
                <w:rFonts w:hint="eastAsia" w:ascii="宋体" w:hAnsi="宋体" w:eastAsia="宋体" w:cs="宋体"/>
                <w:i w:val="0"/>
                <w:iCs w:val="0"/>
                <w:color w:val="000000"/>
                <w:kern w:val="0"/>
                <w:sz w:val="32"/>
                <w:szCs w:val="32"/>
                <w:u w:val="none"/>
                <w:lang w:val="en-US" w:eastAsia="zh-CN" w:bidi="ar"/>
              </w:rPr>
              <w:t>棘洪滩泵站门窗工程</w:t>
            </w:r>
            <w:r>
              <w:rPr>
                <w:rFonts w:hint="eastAsia" w:ascii="宋体" w:hAnsi="宋体" w:cs="宋体"/>
                <w:i w:val="0"/>
                <w:iCs w:val="0"/>
                <w:color w:val="000000"/>
                <w:kern w:val="0"/>
                <w:sz w:val="32"/>
                <w:szCs w:val="32"/>
                <w:u w:val="none"/>
                <w:lang w:val="en-US" w:eastAsia="zh-CN" w:bidi="ar"/>
              </w:rPr>
              <w:t>控制价</w:t>
            </w:r>
          </w:p>
        </w:tc>
      </w:tr>
      <w:tr w14:paraId="0C53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B387">
            <w:pPr>
              <w:keepNext w:val="0"/>
              <w:keepLines w:val="0"/>
              <w:widowControl/>
              <w:suppressLineNumbers w:val="0"/>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D4FA">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项目特征</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4CC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尺寸</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996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1504">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工程量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BA2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60D7">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合计</w:t>
            </w:r>
          </w:p>
        </w:tc>
      </w:tr>
      <w:tr w14:paraId="76C2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B2C3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砖砌墙</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01B9">
            <w:pPr>
              <w:keepNext w:val="0"/>
              <w:keepLines w:val="0"/>
              <w:widowControl/>
              <w:suppressLineNumbers w:val="0"/>
              <w:jc w:val="left"/>
              <w:textAlignment w:val="center"/>
              <w:rPr>
                <w:rFonts w:hint="default" w:ascii="微软雅黑" w:hAnsi="微软雅黑" w:eastAsia="微软雅黑" w:cs="微软雅黑"/>
                <w:i w:val="0"/>
                <w:iCs w:val="0"/>
                <w:color w:val="000000"/>
                <w:sz w:val="18"/>
                <w:szCs w:val="18"/>
                <w:u w:val="none"/>
                <w:lang w:val="en-US"/>
              </w:rPr>
            </w:pPr>
            <w:r>
              <w:rPr>
                <w:rFonts w:hint="eastAsia" w:ascii="微软雅黑" w:hAnsi="微软雅黑" w:eastAsia="微软雅黑" w:cs="微软雅黑"/>
                <w:i w:val="0"/>
                <w:iCs w:val="0"/>
                <w:color w:val="000000"/>
                <w:kern w:val="0"/>
                <w:sz w:val="18"/>
                <w:szCs w:val="18"/>
                <w:u w:val="none"/>
                <w:lang w:val="en-US" w:eastAsia="zh-CN" w:bidi="ar"/>
              </w:rPr>
              <w:t>实心砖墙1.砖品种、规格、强度等级:页岩砖2.砂浆强度等级、配合比:M7.5水泥砂浆、若需加装横梁或植筋需根据实际情况加装</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3BB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（3.28m*6.6m-2.88m*2.78m）*0.24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A83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m3</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071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3.27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2D6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860.00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36A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2812.20 </w:t>
            </w:r>
          </w:p>
        </w:tc>
      </w:tr>
      <w:tr w14:paraId="52B3F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C8BE1">
            <w:pPr>
              <w:jc w:val="center"/>
              <w:rPr>
                <w:rFonts w:hint="eastAsia" w:ascii="微软雅黑" w:hAnsi="微软雅黑" w:eastAsia="微软雅黑" w:cs="微软雅黑"/>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987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烤漆防腐铁门，厚度1.2mm</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A12B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2.88m*2.78m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903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AFE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8.01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C38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1FA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4005.00 </w:t>
            </w:r>
          </w:p>
        </w:tc>
      </w:tr>
      <w:tr w14:paraId="769EF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B7658">
            <w:pPr>
              <w:jc w:val="center"/>
              <w:rPr>
                <w:rFonts w:hint="eastAsia" w:ascii="微软雅黑" w:hAnsi="微软雅黑" w:eastAsia="微软雅黑" w:cs="微软雅黑"/>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9A5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墙面一般抹灰（暂估量）1.墙体类型:砖墙2.底层厚度、砂浆配合比:2cm厚砂浆抹灰1：2</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3FC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（3.28m*6.6m-2.88m*2.78m）*2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67D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4A8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27.28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1E7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868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1500.40 </w:t>
            </w:r>
          </w:p>
        </w:tc>
      </w:tr>
      <w:tr w14:paraId="24A2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F1800">
            <w:pPr>
              <w:jc w:val="center"/>
              <w:rPr>
                <w:rFonts w:hint="eastAsia" w:ascii="微软雅黑" w:hAnsi="微软雅黑" w:eastAsia="微软雅黑" w:cs="微软雅黑"/>
                <w:i w:val="0"/>
                <w:iCs w:val="0"/>
                <w:color w:val="000000"/>
                <w:sz w:val="18"/>
                <w:szCs w:val="18"/>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7EB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喷刷涂料1.喷刷涂料部位:天棚2.腻子种类:耐水腻子3.刮腻子要求:二遍4.涂料品种、喷刷遍数:乳胶漆二遍</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844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（3.28m*6.6m-2.88m*2.78m）*2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E7F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320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27.28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8A6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54.00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BFD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1473.12 </w:t>
            </w:r>
          </w:p>
        </w:tc>
      </w:tr>
      <w:tr w14:paraId="7D55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B7B9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断桥隔热窗</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A11FE">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断桥隔热铝合金窗 65系列（5+12A+5）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D3C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2.34m*1.75m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41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F3C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4.10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24D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BA7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2252.25 </w:t>
            </w:r>
          </w:p>
        </w:tc>
      </w:tr>
      <w:tr w14:paraId="174D4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2CE16">
            <w:pPr>
              <w:jc w:val="center"/>
              <w:rPr>
                <w:rFonts w:hint="eastAsia" w:ascii="微软雅黑" w:hAnsi="微软雅黑" w:eastAsia="微软雅黑" w:cs="微软雅黑"/>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12745">
            <w:pPr>
              <w:jc w:val="left"/>
              <w:rPr>
                <w:rFonts w:hint="eastAsia" w:ascii="微软雅黑" w:hAnsi="微软雅黑" w:eastAsia="微软雅黑" w:cs="微软雅黑"/>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F9F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2.35m*1.72m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3CE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17D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4.04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8CE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9BF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2223.10 </w:t>
            </w:r>
          </w:p>
        </w:tc>
      </w:tr>
      <w:tr w14:paraId="3932E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2AEFC">
            <w:pPr>
              <w:jc w:val="center"/>
              <w:rPr>
                <w:rFonts w:hint="eastAsia" w:ascii="微软雅黑" w:hAnsi="微软雅黑" w:eastAsia="微软雅黑" w:cs="微软雅黑"/>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5F17A">
            <w:pPr>
              <w:jc w:val="left"/>
              <w:rPr>
                <w:rFonts w:hint="eastAsia" w:ascii="微软雅黑" w:hAnsi="微软雅黑" w:eastAsia="微软雅黑" w:cs="微软雅黑"/>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E2C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2.34m*1.74m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8C9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D8F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4.07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13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118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2239.38 </w:t>
            </w:r>
          </w:p>
        </w:tc>
      </w:tr>
      <w:tr w14:paraId="7BBD6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774ED">
            <w:pPr>
              <w:jc w:val="center"/>
              <w:rPr>
                <w:rFonts w:hint="eastAsia" w:ascii="微软雅黑" w:hAnsi="微软雅黑" w:eastAsia="微软雅黑" w:cs="微软雅黑"/>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A531B">
            <w:pPr>
              <w:jc w:val="left"/>
              <w:rPr>
                <w:rFonts w:hint="eastAsia" w:ascii="微软雅黑" w:hAnsi="微软雅黑" w:eastAsia="微软雅黑" w:cs="微软雅黑"/>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25C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2.03m*1.43m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E1D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483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2.90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7FB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D48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1596.60 </w:t>
            </w:r>
          </w:p>
        </w:tc>
      </w:tr>
      <w:tr w14:paraId="31D6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5CCE7">
            <w:pPr>
              <w:jc w:val="center"/>
              <w:rPr>
                <w:rFonts w:hint="eastAsia" w:ascii="微软雅黑" w:hAnsi="微软雅黑" w:eastAsia="微软雅黑" w:cs="微软雅黑"/>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D00F8">
            <w:pPr>
              <w:jc w:val="left"/>
              <w:rPr>
                <w:rFonts w:hint="eastAsia" w:ascii="微软雅黑" w:hAnsi="微软雅黑" w:eastAsia="微软雅黑" w:cs="微软雅黑"/>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58B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2.05m*1.44m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705A">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D69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2.95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6E8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996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1623.60 </w:t>
            </w:r>
          </w:p>
        </w:tc>
      </w:tr>
      <w:tr w14:paraId="1E2C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50A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门窗防鸟网</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378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门窗防鸟网</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48F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2.34m*1.75m；2.35m*1.72m；2.34m*1.74m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FEE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31D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FF1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120.00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062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360.00 </w:t>
            </w:r>
          </w:p>
        </w:tc>
      </w:tr>
      <w:tr w14:paraId="42E6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68F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断桥隔热门</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DD3B">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断桥隔热铝合金窗65系列（5+12A+5）</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5ED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2.68m*0.86m单开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5C21">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5F5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2.30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2E56">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1000.00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D62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2304.80 </w:t>
            </w:r>
          </w:p>
        </w:tc>
      </w:tr>
      <w:tr w14:paraId="60A3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A682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防火门</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11274">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甲级带证防火门</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9F86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2.47m*1.47m双开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F33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A31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3.63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7BE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58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3086.27 </w:t>
            </w:r>
          </w:p>
        </w:tc>
      </w:tr>
      <w:tr w14:paraId="1B27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13608">
            <w:pPr>
              <w:jc w:val="center"/>
              <w:rPr>
                <w:rFonts w:hint="eastAsia" w:ascii="微软雅黑" w:hAnsi="微软雅黑" w:eastAsia="微软雅黑" w:cs="微软雅黑"/>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A949">
            <w:pPr>
              <w:jc w:val="left"/>
              <w:rPr>
                <w:rFonts w:hint="eastAsia" w:ascii="微软雅黑" w:hAnsi="微软雅黑" w:eastAsia="微软雅黑" w:cs="微软雅黑"/>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98CD">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2.47m*1.47m双开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D6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859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3.63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AE8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AD1B">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3086.27 </w:t>
            </w:r>
          </w:p>
        </w:tc>
      </w:tr>
      <w:tr w14:paraId="1B867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FF98">
            <w:pPr>
              <w:jc w:val="center"/>
              <w:rPr>
                <w:rFonts w:hint="eastAsia" w:ascii="微软雅黑" w:hAnsi="微软雅黑" w:eastAsia="微软雅黑" w:cs="微软雅黑"/>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0B2E5">
            <w:pPr>
              <w:jc w:val="left"/>
              <w:rPr>
                <w:rFonts w:hint="eastAsia" w:ascii="微软雅黑" w:hAnsi="微软雅黑" w:eastAsia="微软雅黑" w:cs="微软雅黑"/>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A9A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2.48m*1.48m双开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C6E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297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3.67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3C2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A10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3119.84 </w:t>
            </w:r>
          </w:p>
        </w:tc>
      </w:tr>
      <w:tr w14:paraId="28A19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691CE">
            <w:pPr>
              <w:jc w:val="center"/>
              <w:rPr>
                <w:rFonts w:hint="eastAsia" w:ascii="微软雅黑" w:hAnsi="微软雅黑" w:eastAsia="微软雅黑" w:cs="微软雅黑"/>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C617D">
            <w:pPr>
              <w:jc w:val="left"/>
              <w:rPr>
                <w:rFonts w:hint="eastAsia" w:ascii="微软雅黑" w:hAnsi="微软雅黑" w:eastAsia="微软雅黑" w:cs="微软雅黑"/>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5F0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2.95m*1.8m双开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D15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1ED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5.31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DEC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25D0">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4513.50 </w:t>
            </w:r>
          </w:p>
        </w:tc>
      </w:tr>
      <w:tr w14:paraId="0DD44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EE3C7">
            <w:pPr>
              <w:jc w:val="center"/>
              <w:rPr>
                <w:rFonts w:hint="eastAsia" w:ascii="微软雅黑" w:hAnsi="微软雅黑" w:eastAsia="微软雅黑" w:cs="微软雅黑"/>
                <w:i w:val="0"/>
                <w:iCs w:val="0"/>
                <w:color w:val="000000"/>
                <w:sz w:val="18"/>
                <w:szCs w:val="18"/>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E2AE7">
            <w:pPr>
              <w:jc w:val="left"/>
              <w:rPr>
                <w:rFonts w:hint="eastAsia" w:ascii="微软雅黑" w:hAnsi="微软雅黑" w:eastAsia="微软雅黑" w:cs="微软雅黑"/>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F83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2.36m*0.99m单开</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8227">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1DD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2.34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AF8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850.00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A22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1985.94 </w:t>
            </w:r>
          </w:p>
        </w:tc>
      </w:tr>
      <w:tr w14:paraId="65E1F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2B1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拆除工程</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BD1F">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门窗拆除</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7C0C">
            <w:pPr>
              <w:jc w:val="center"/>
              <w:rPr>
                <w:rFonts w:hint="eastAsia" w:ascii="微软雅黑" w:hAnsi="微软雅黑" w:eastAsia="微软雅黑" w:cs="微软雅黑"/>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5EAC">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52C9">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83.50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0DB4">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27.00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4535">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2254.50 </w:t>
            </w:r>
          </w:p>
        </w:tc>
      </w:tr>
      <w:tr w14:paraId="68B8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E77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垃圾清运</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504C">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垃圾清运</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C75B">
            <w:pPr>
              <w:jc w:val="center"/>
              <w:rPr>
                <w:rFonts w:hint="eastAsia" w:ascii="微软雅黑" w:hAnsi="微软雅黑" w:eastAsia="微软雅黑" w:cs="微软雅黑"/>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3028">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ED72">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30.00 </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A62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35.00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085E">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1050.00 </w:t>
            </w:r>
          </w:p>
        </w:tc>
      </w:tr>
      <w:tr w14:paraId="590D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681F">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F362">
            <w:pPr>
              <w:jc w:val="left"/>
              <w:rPr>
                <w:rFonts w:hint="eastAsia" w:ascii="微软雅黑" w:hAnsi="微软雅黑" w:eastAsia="微软雅黑" w:cs="微软雅黑"/>
                <w:i w:val="0"/>
                <w:iCs w:val="0"/>
                <w:color w:val="000000"/>
                <w:sz w:val="18"/>
                <w:szCs w:val="18"/>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76FB">
            <w:pPr>
              <w:jc w:val="center"/>
              <w:rPr>
                <w:rFonts w:hint="eastAsia" w:ascii="微软雅黑" w:hAnsi="微软雅黑" w:eastAsia="微软雅黑" w:cs="微软雅黑"/>
                <w:i w:val="0"/>
                <w:iCs w:val="0"/>
                <w:color w:val="000000"/>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1B87">
            <w:pPr>
              <w:jc w:val="center"/>
              <w:rPr>
                <w:rFonts w:hint="eastAsia" w:ascii="微软雅黑" w:hAnsi="微软雅黑" w:eastAsia="微软雅黑" w:cs="微软雅黑"/>
                <w:i w:val="0"/>
                <w:iCs w:val="0"/>
                <w:color w:val="000000"/>
                <w:sz w:val="18"/>
                <w:szCs w:val="18"/>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CB7B">
            <w:pPr>
              <w:jc w:val="center"/>
              <w:rPr>
                <w:rFonts w:hint="eastAsia" w:ascii="微软雅黑" w:hAnsi="微软雅黑" w:eastAsia="微软雅黑" w:cs="微软雅黑"/>
                <w:i w:val="0"/>
                <w:iCs w:val="0"/>
                <w:color w:val="000000"/>
                <w:sz w:val="18"/>
                <w:szCs w:val="18"/>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00F0">
            <w:pPr>
              <w:jc w:val="center"/>
              <w:rPr>
                <w:rFonts w:hint="eastAsia" w:ascii="微软雅黑" w:hAnsi="微软雅黑" w:eastAsia="微软雅黑" w:cs="微软雅黑"/>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F493">
            <w:pPr>
              <w:keepNext w:val="0"/>
              <w:keepLines w:val="0"/>
              <w:widowControl/>
              <w:suppressLineNumbers w:val="0"/>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 xml:space="preserve">41486.76 </w:t>
            </w:r>
          </w:p>
        </w:tc>
      </w:tr>
    </w:tbl>
    <w:p w14:paraId="0209C72F">
      <w:pPr>
        <w:adjustRightInd w:val="0"/>
        <w:snapToGrid w:val="0"/>
        <w:spacing w:line="360" w:lineRule="auto"/>
        <w:ind w:firstLine="602" w:firstLineChars="200"/>
        <w:jc w:val="both"/>
        <w:rPr>
          <w:rFonts w:hint="eastAsia" w:ascii="仿宋" w:hAnsi="仿宋" w:eastAsia="仿宋" w:cs="仿宋"/>
          <w:b/>
          <w:bCs/>
          <w:sz w:val="30"/>
          <w:szCs w:val="30"/>
        </w:rPr>
      </w:pPr>
    </w:p>
    <w:p w14:paraId="1230FB63">
      <w:pPr>
        <w:adjustRightInd w:val="0"/>
        <w:snapToGrid w:val="0"/>
        <w:spacing w:line="360" w:lineRule="auto"/>
        <w:ind w:firstLine="602" w:firstLineChars="200"/>
        <w:jc w:val="center"/>
        <w:rPr>
          <w:rFonts w:hint="eastAsia" w:ascii="仿宋" w:hAnsi="仿宋" w:eastAsia="仿宋" w:cs="仿宋"/>
          <w:b/>
          <w:bCs/>
          <w:sz w:val="30"/>
          <w:szCs w:val="30"/>
        </w:rPr>
      </w:pPr>
    </w:p>
    <w:p w14:paraId="5A9476B0">
      <w:pPr>
        <w:adjustRightInd w:val="0"/>
        <w:snapToGrid w:val="0"/>
        <w:spacing w:line="360" w:lineRule="auto"/>
        <w:ind w:firstLine="602" w:firstLineChars="200"/>
        <w:jc w:val="center"/>
        <w:rPr>
          <w:rFonts w:hint="eastAsia" w:ascii="仿宋" w:hAnsi="仿宋" w:eastAsia="仿宋" w:cs="仿宋"/>
          <w:b/>
          <w:bCs/>
          <w:sz w:val="30"/>
          <w:szCs w:val="30"/>
        </w:rPr>
      </w:pPr>
    </w:p>
    <w:p w14:paraId="332A869F">
      <w:pPr>
        <w:adjustRightInd w:val="0"/>
        <w:snapToGrid w:val="0"/>
        <w:spacing w:line="360" w:lineRule="auto"/>
        <w:ind w:firstLine="602" w:firstLineChars="200"/>
        <w:jc w:val="center"/>
        <w:rPr>
          <w:rFonts w:hint="eastAsia" w:ascii="仿宋" w:hAnsi="仿宋" w:eastAsia="仿宋" w:cs="仿宋"/>
          <w:b/>
          <w:bCs/>
          <w:sz w:val="30"/>
          <w:szCs w:val="30"/>
        </w:rPr>
      </w:pPr>
    </w:p>
    <w:p w14:paraId="3FDAD5BD">
      <w:pPr>
        <w:adjustRightInd w:val="0"/>
        <w:snapToGrid w:val="0"/>
        <w:spacing w:line="360" w:lineRule="auto"/>
        <w:ind w:firstLine="602" w:firstLineChars="200"/>
        <w:jc w:val="center"/>
        <w:rPr>
          <w:rFonts w:hint="eastAsia" w:ascii="仿宋" w:hAnsi="仿宋" w:eastAsia="仿宋" w:cs="仿宋"/>
          <w:b/>
          <w:bCs/>
          <w:sz w:val="30"/>
          <w:szCs w:val="30"/>
        </w:rPr>
      </w:pPr>
    </w:p>
    <w:p w14:paraId="460A3003">
      <w:pPr>
        <w:adjustRightInd w:val="0"/>
        <w:snapToGrid w:val="0"/>
        <w:spacing w:line="360" w:lineRule="auto"/>
        <w:ind w:firstLine="602" w:firstLineChars="200"/>
        <w:jc w:val="center"/>
        <w:rPr>
          <w:rFonts w:hint="eastAsia" w:ascii="仿宋" w:hAnsi="仿宋" w:eastAsia="仿宋" w:cs="仿宋"/>
          <w:b/>
          <w:bCs/>
          <w:sz w:val="30"/>
          <w:szCs w:val="30"/>
        </w:rPr>
      </w:pPr>
    </w:p>
    <w:p w14:paraId="71803A68">
      <w:pPr>
        <w:adjustRightInd w:val="0"/>
        <w:snapToGrid w:val="0"/>
        <w:spacing w:line="360" w:lineRule="auto"/>
        <w:ind w:firstLine="602" w:firstLineChars="200"/>
        <w:jc w:val="center"/>
        <w:rPr>
          <w:rFonts w:hint="eastAsia" w:ascii="仿宋" w:hAnsi="仿宋" w:eastAsia="仿宋" w:cs="仿宋"/>
          <w:b/>
          <w:bCs/>
          <w:sz w:val="30"/>
          <w:szCs w:val="30"/>
        </w:rPr>
      </w:pPr>
    </w:p>
    <w:p w14:paraId="393DE3B7">
      <w:pPr>
        <w:adjustRightInd w:val="0"/>
        <w:snapToGrid w:val="0"/>
        <w:spacing w:line="360" w:lineRule="auto"/>
        <w:ind w:firstLine="602" w:firstLineChars="200"/>
        <w:jc w:val="center"/>
        <w:rPr>
          <w:rFonts w:hint="eastAsia" w:ascii="仿宋" w:hAnsi="仿宋" w:eastAsia="仿宋" w:cs="仿宋"/>
          <w:b/>
          <w:bCs/>
          <w:sz w:val="30"/>
          <w:szCs w:val="30"/>
        </w:rPr>
      </w:pPr>
    </w:p>
    <w:p w14:paraId="3E0E5896">
      <w:pPr>
        <w:adjustRightInd w:val="0"/>
        <w:snapToGrid w:val="0"/>
        <w:spacing w:line="360" w:lineRule="auto"/>
        <w:ind w:firstLine="602" w:firstLineChars="200"/>
        <w:jc w:val="center"/>
        <w:rPr>
          <w:rFonts w:hint="eastAsia" w:ascii="仿宋" w:hAnsi="仿宋" w:eastAsia="仿宋" w:cs="仿宋"/>
          <w:b/>
          <w:bCs/>
          <w:sz w:val="30"/>
          <w:szCs w:val="30"/>
        </w:rPr>
      </w:pPr>
    </w:p>
    <w:p w14:paraId="5C561B5B">
      <w:pPr>
        <w:adjustRightInd w:val="0"/>
        <w:snapToGrid w:val="0"/>
        <w:spacing w:line="360" w:lineRule="auto"/>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第</w:t>
      </w: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章  投标文件编制要求</w:t>
      </w:r>
    </w:p>
    <w:p w14:paraId="658704A8">
      <w:pPr>
        <w:adjustRightInd w:val="0"/>
        <w:snapToGrid w:val="0"/>
        <w:spacing w:line="360" w:lineRule="auto"/>
        <w:ind w:firstLine="600" w:firstLineChars="200"/>
        <w:rPr>
          <w:rFonts w:ascii="仿宋" w:hAnsi="仿宋" w:eastAsia="仿宋" w:cs="仿宋"/>
          <w:sz w:val="30"/>
          <w:szCs w:val="30"/>
        </w:rPr>
      </w:pPr>
    </w:p>
    <w:p w14:paraId="2B53543A">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1.应按本文件规定的格式、顺序制作，每页必须加盖公章。</w:t>
      </w:r>
    </w:p>
    <w:p w14:paraId="53322752">
      <w:pPr>
        <w:adjustRightInd w:val="0"/>
        <w:snapToGrid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2.投标文件一式三份。</w:t>
      </w:r>
    </w:p>
    <w:p w14:paraId="67CDB2BF">
      <w:pPr>
        <w:adjustRightInd w:val="0"/>
        <w:snapToGrid w:val="0"/>
        <w:spacing w:line="360" w:lineRule="auto"/>
        <w:ind w:firstLine="600" w:firstLineChars="200"/>
        <w:rPr>
          <w:rFonts w:hint="eastAsia" w:ascii="宋体" w:hAnsi="宋体" w:eastAsia="宋体" w:cs="宋体"/>
          <w:sz w:val="21"/>
          <w:szCs w:val="21"/>
        </w:rPr>
        <w:sectPr>
          <w:pgSz w:w="11900" w:h="16840"/>
          <w:pgMar w:top="400" w:right="885" w:bottom="400" w:left="985" w:header="0" w:footer="0" w:gutter="0"/>
          <w:cols w:space="720" w:num="1"/>
        </w:sectPr>
      </w:pPr>
      <w:r>
        <w:rPr>
          <w:rFonts w:hint="eastAsia" w:ascii="仿宋" w:hAnsi="仿宋" w:eastAsia="仿宋" w:cs="仿宋"/>
          <w:sz w:val="30"/>
          <w:szCs w:val="30"/>
        </w:rPr>
        <w:t>3.投标文件装订后用密封袋密封，在密封袋上注明投标日期和投标人名称（全称</w:t>
      </w:r>
    </w:p>
    <w:bookmarkEnd w:id="17"/>
    <w:bookmarkEnd w:id="18"/>
    <w:p w14:paraId="2C508E62">
      <w:pPr>
        <w:adjustRightInd w:val="0"/>
        <w:snapToGrid w:val="0"/>
        <w:spacing w:line="360" w:lineRule="auto"/>
        <w:rPr>
          <w:rFonts w:hint="eastAsia"/>
          <w:b/>
          <w:sz w:val="32"/>
          <w:szCs w:val="32"/>
        </w:rPr>
      </w:pPr>
    </w:p>
    <w:p w14:paraId="1A5261E8">
      <w:pPr>
        <w:adjustRightInd w:val="0"/>
        <w:snapToGrid w:val="0"/>
        <w:spacing w:line="360" w:lineRule="auto"/>
        <w:ind w:firstLine="964" w:firstLineChars="300"/>
        <w:rPr>
          <w:rFonts w:hint="eastAsia" w:ascii="仿宋" w:hAnsi="仿宋" w:eastAsia="仿宋" w:cs="仿宋"/>
          <w:sz w:val="32"/>
          <w:szCs w:val="32"/>
        </w:rPr>
      </w:pPr>
      <w:r>
        <w:rPr>
          <w:rFonts w:hint="eastAsia"/>
          <w:b/>
          <w:sz w:val="32"/>
          <w:szCs w:val="32"/>
        </w:rPr>
        <w:t>项目</w:t>
      </w:r>
      <w:r>
        <w:rPr>
          <w:rFonts w:hint="eastAsia"/>
          <w:b/>
          <w:sz w:val="32"/>
          <w:szCs w:val="32"/>
          <w:lang w:val="en-US" w:eastAsia="zh-CN"/>
        </w:rPr>
        <w:t>名称</w:t>
      </w:r>
      <w:r>
        <w:rPr>
          <w:rFonts w:hint="eastAsia"/>
          <w:b/>
          <w:sz w:val="32"/>
          <w:szCs w:val="32"/>
          <w:lang w:eastAsia="zh-CN"/>
        </w:rPr>
        <w:t>：</w:t>
      </w:r>
    </w:p>
    <w:p w14:paraId="4EC68DC4">
      <w:pPr>
        <w:adjustRightInd w:val="0"/>
        <w:snapToGrid w:val="0"/>
        <w:spacing w:line="360" w:lineRule="auto"/>
        <w:ind w:firstLine="964" w:firstLineChars="300"/>
        <w:rPr>
          <w:b/>
          <w:sz w:val="32"/>
          <w:szCs w:val="32"/>
        </w:rPr>
      </w:pPr>
      <w:r>
        <w:rPr>
          <w:rFonts w:hint="eastAsia" w:ascii="仿宋" w:hAnsi="仿宋" w:eastAsia="仿宋" w:cs="仿宋"/>
          <w:b/>
          <w:bCs/>
          <w:sz w:val="32"/>
          <w:szCs w:val="32"/>
          <w:lang w:val="en-US" w:eastAsia="zh-CN"/>
        </w:rPr>
        <w:t>项目编号：</w:t>
      </w:r>
    </w:p>
    <w:p w14:paraId="4B54861A">
      <w:pPr>
        <w:pStyle w:val="30"/>
        <w:rPr>
          <w:b/>
          <w:sz w:val="32"/>
        </w:rPr>
      </w:pPr>
    </w:p>
    <w:p w14:paraId="0AB50298">
      <w:pPr>
        <w:spacing w:line="480" w:lineRule="auto"/>
        <w:ind w:left="600"/>
        <w:jc w:val="center"/>
        <w:rPr>
          <w:b/>
          <w:sz w:val="56"/>
        </w:rPr>
      </w:pPr>
    </w:p>
    <w:p w14:paraId="10B758C5">
      <w:pPr>
        <w:spacing w:line="480" w:lineRule="auto"/>
        <w:ind w:left="600"/>
        <w:jc w:val="center"/>
        <w:rPr>
          <w:b/>
          <w:sz w:val="56"/>
        </w:rPr>
      </w:pPr>
      <w:r>
        <w:rPr>
          <w:rFonts w:hint="eastAsia"/>
          <w:b/>
          <w:sz w:val="56"/>
        </w:rPr>
        <w:t>报价文件</w:t>
      </w:r>
    </w:p>
    <w:p w14:paraId="1CCC6781">
      <w:pPr>
        <w:pStyle w:val="30"/>
        <w:ind w:left="1200"/>
        <w:rPr>
          <w:rFonts w:ascii="仿宋_GB2312" w:hAnsi="仿宋_GB2312" w:eastAsia="仿宋_GB2312" w:cs="仿宋_GB2312"/>
          <w:b/>
          <w:sz w:val="32"/>
        </w:rPr>
      </w:pPr>
    </w:p>
    <w:p w14:paraId="1C4ECC4F">
      <w:pPr>
        <w:pStyle w:val="30"/>
        <w:ind w:left="1200"/>
        <w:rPr>
          <w:rFonts w:ascii="仿宋_GB2312" w:hAnsi="仿宋_GB2312" w:eastAsia="仿宋_GB2312" w:cs="仿宋_GB2312"/>
          <w:b/>
          <w:sz w:val="32"/>
        </w:rPr>
      </w:pPr>
    </w:p>
    <w:p w14:paraId="601BC3C4">
      <w:pPr>
        <w:pStyle w:val="30"/>
        <w:ind w:left="1200"/>
        <w:rPr>
          <w:rFonts w:ascii="仿宋_GB2312" w:hAnsi="仿宋_GB2312" w:eastAsia="仿宋_GB2312" w:cs="仿宋_GB2312"/>
          <w:b/>
          <w:sz w:val="32"/>
        </w:rPr>
      </w:pPr>
    </w:p>
    <w:p w14:paraId="62A0C593">
      <w:pPr>
        <w:pStyle w:val="30"/>
        <w:ind w:left="1200"/>
        <w:rPr>
          <w:rFonts w:ascii="仿宋_GB2312" w:hAnsi="仿宋_GB2312" w:eastAsia="仿宋_GB2312" w:cs="仿宋_GB2312"/>
          <w:b/>
          <w:sz w:val="32"/>
        </w:rPr>
      </w:pPr>
    </w:p>
    <w:p w14:paraId="76D588E2">
      <w:pPr>
        <w:pStyle w:val="30"/>
        <w:ind w:left="1200"/>
        <w:rPr>
          <w:rFonts w:ascii="仿宋_GB2312" w:hAnsi="仿宋_GB2312" w:eastAsia="仿宋_GB2312" w:cs="仿宋_GB2312"/>
          <w:b/>
          <w:sz w:val="32"/>
        </w:rPr>
      </w:pPr>
    </w:p>
    <w:p w14:paraId="2C78DFC0">
      <w:pPr>
        <w:pStyle w:val="30"/>
        <w:ind w:left="1200"/>
        <w:rPr>
          <w:rFonts w:ascii="仿宋_GB2312" w:hAnsi="仿宋_GB2312" w:eastAsia="仿宋_GB2312" w:cs="仿宋_GB2312"/>
          <w:b/>
          <w:sz w:val="32"/>
        </w:rPr>
      </w:pPr>
    </w:p>
    <w:p w14:paraId="0C72B88F">
      <w:pPr>
        <w:pStyle w:val="30"/>
        <w:ind w:left="1200"/>
        <w:rPr>
          <w:rFonts w:ascii="仿宋_GB2312" w:hAnsi="仿宋_GB2312" w:eastAsia="仿宋_GB2312" w:cs="仿宋_GB2312"/>
        </w:rPr>
      </w:pPr>
    </w:p>
    <w:p w14:paraId="527B912F">
      <w:pPr>
        <w:pStyle w:val="30"/>
        <w:ind w:left="1200"/>
        <w:rPr>
          <w:rFonts w:ascii="仿宋_GB2312" w:hAnsi="仿宋_GB2312" w:eastAsia="仿宋_GB2312" w:cs="仿宋_GB2312"/>
        </w:rPr>
      </w:pPr>
    </w:p>
    <w:p w14:paraId="66613B55">
      <w:pPr>
        <w:ind w:right="40" w:rightChars="19" w:firstLine="560"/>
        <w:rPr>
          <w:sz w:val="28"/>
          <w:szCs w:val="28"/>
          <w:u w:val="single"/>
        </w:rPr>
      </w:pPr>
      <w:r>
        <w:rPr>
          <w:rFonts w:hint="eastAsia"/>
          <w:sz w:val="28"/>
          <w:szCs w:val="28"/>
        </w:rPr>
        <w:t>　　　　供应商：</w:t>
      </w:r>
      <w:r>
        <w:rPr>
          <w:rFonts w:hint="eastAsia"/>
          <w:sz w:val="28"/>
          <w:szCs w:val="28"/>
          <w:u w:val="single"/>
        </w:rPr>
        <w:t>　　　　　　　（盖章）</w:t>
      </w:r>
    </w:p>
    <w:p w14:paraId="0C72654E">
      <w:pPr>
        <w:ind w:right="40" w:rightChars="19" w:firstLine="560"/>
        <w:jc w:val="center"/>
        <w:rPr>
          <w:sz w:val="28"/>
          <w:szCs w:val="28"/>
        </w:rPr>
      </w:pPr>
    </w:p>
    <w:p w14:paraId="2AE2432B">
      <w:pPr>
        <w:ind w:right="40" w:rightChars="19" w:firstLine="1680" w:firstLineChars="600"/>
        <w:rPr>
          <w:sz w:val="28"/>
          <w:szCs w:val="28"/>
        </w:rPr>
      </w:pPr>
      <w:r>
        <w:rPr>
          <w:rFonts w:hint="eastAsia"/>
          <w:sz w:val="28"/>
          <w:szCs w:val="28"/>
        </w:rPr>
        <w:t>法定代表人或其委托代理人：</w:t>
      </w:r>
      <w:r>
        <w:rPr>
          <w:rFonts w:hint="eastAsia"/>
          <w:sz w:val="28"/>
          <w:szCs w:val="28"/>
          <w:u w:val="single"/>
        </w:rPr>
        <w:t>　　（签字或盖章）</w:t>
      </w:r>
    </w:p>
    <w:p w14:paraId="22A210B0">
      <w:pPr>
        <w:spacing w:line="400" w:lineRule="atLeast"/>
        <w:ind w:firstLine="560"/>
        <w:jc w:val="center"/>
        <w:rPr>
          <w:sz w:val="28"/>
          <w:szCs w:val="28"/>
        </w:rPr>
      </w:pPr>
    </w:p>
    <w:p w14:paraId="34F9C856">
      <w:pPr>
        <w:spacing w:line="400" w:lineRule="atLeast"/>
        <w:ind w:firstLine="560"/>
        <w:sectPr>
          <w:headerReference r:id="rId3" w:type="default"/>
          <w:footerReference r:id="rId4" w:type="default"/>
          <w:pgSz w:w="11906" w:h="16838"/>
          <w:pgMar w:top="1440" w:right="1080" w:bottom="1440" w:left="1080" w:header="851" w:footer="851" w:gutter="0"/>
          <w:cols w:space="720" w:num="1"/>
          <w:docGrid w:linePitch="312" w:charSpace="0"/>
        </w:sectPr>
      </w:pPr>
      <w:r>
        <w:rPr>
          <w:rFonts w:hint="eastAsia"/>
          <w:sz w:val="28"/>
          <w:szCs w:val="28"/>
        </w:rPr>
        <w:t>　　　　　日　　期：</w:t>
      </w:r>
      <w:r>
        <w:rPr>
          <w:rFonts w:hint="eastAsia"/>
          <w:sz w:val="28"/>
          <w:szCs w:val="28"/>
          <w:u w:val="single"/>
        </w:rPr>
        <w:t>　　　</w:t>
      </w:r>
      <w:r>
        <w:rPr>
          <w:rFonts w:hint="eastAsia"/>
          <w:sz w:val="28"/>
          <w:szCs w:val="28"/>
        </w:rPr>
        <w:t>年</w:t>
      </w:r>
      <w:r>
        <w:rPr>
          <w:rFonts w:hint="eastAsia"/>
          <w:sz w:val="28"/>
          <w:szCs w:val="28"/>
          <w:u w:val="single"/>
        </w:rPr>
        <w:t>　　　</w:t>
      </w:r>
      <w:r>
        <w:rPr>
          <w:rFonts w:hint="eastAsia"/>
          <w:sz w:val="28"/>
          <w:szCs w:val="28"/>
        </w:rPr>
        <w:t>月</w:t>
      </w:r>
      <w:r>
        <w:rPr>
          <w:rFonts w:hint="eastAsia"/>
          <w:sz w:val="28"/>
          <w:szCs w:val="28"/>
          <w:u w:val="single"/>
        </w:rPr>
        <w:t>　　</w:t>
      </w:r>
      <w:r>
        <w:rPr>
          <w:rFonts w:hint="eastAsia"/>
          <w:sz w:val="28"/>
          <w:szCs w:val="28"/>
        </w:rPr>
        <w:t>日</w:t>
      </w:r>
    </w:p>
    <w:p w14:paraId="46E3E22D">
      <w:pPr>
        <w:spacing w:before="100" w:beforeAutospacing="1" w:after="100" w:afterAutospacing="1"/>
        <w:jc w:val="center"/>
        <w:outlineLvl w:val="1"/>
        <w:rPr>
          <w:rFonts w:ascii="仿宋" w:hAnsi="仿宋" w:eastAsia="仿宋" w:cs="仿宋"/>
          <w:b/>
          <w:bCs/>
          <w:sz w:val="28"/>
          <w:szCs w:val="28"/>
        </w:rPr>
      </w:pPr>
      <w:bookmarkStart w:id="53" w:name="_Toc515800191"/>
      <w:bookmarkStart w:id="54" w:name="_Toc13813"/>
      <w:bookmarkStart w:id="55" w:name="_Toc8057"/>
      <w:bookmarkStart w:id="56" w:name="_Toc22243"/>
      <w:bookmarkStart w:id="57" w:name="_Toc20511"/>
      <w:bookmarkStart w:id="58" w:name="_Toc330225910"/>
      <w:bookmarkStart w:id="59" w:name="_Toc360113102"/>
      <w:bookmarkStart w:id="60" w:name="_Toc5034"/>
      <w:bookmarkStart w:id="61" w:name="_Toc30598"/>
      <w:r>
        <w:rPr>
          <w:rFonts w:hint="eastAsia" w:ascii="仿宋" w:hAnsi="仿宋" w:eastAsia="仿宋" w:cs="仿宋"/>
          <w:b/>
          <w:bCs/>
          <w:sz w:val="28"/>
          <w:szCs w:val="28"/>
        </w:rPr>
        <w:t>1.投标承诺函</w:t>
      </w:r>
      <w:bookmarkEnd w:id="53"/>
      <w:bookmarkEnd w:id="54"/>
    </w:p>
    <w:p w14:paraId="1A2DAF3A">
      <w:pPr>
        <w:spacing w:line="360" w:lineRule="auto"/>
        <w:rPr>
          <w:rFonts w:ascii="宋体" w:hAnsi="宋体"/>
          <w:szCs w:val="21"/>
        </w:rPr>
      </w:pPr>
      <w:r>
        <w:rPr>
          <w:rFonts w:hint="eastAsia" w:ascii="宋体" w:hAnsi="宋体"/>
          <w:szCs w:val="21"/>
        </w:rPr>
        <w:t>（招标人名称）：</w:t>
      </w:r>
    </w:p>
    <w:p w14:paraId="5D36E3FB">
      <w:pPr>
        <w:spacing w:line="360" w:lineRule="auto"/>
        <w:ind w:firstLine="420" w:firstLineChars="200"/>
        <w:rPr>
          <w:rFonts w:ascii="宋体" w:hAnsi="宋体"/>
          <w:szCs w:val="21"/>
        </w:rPr>
      </w:pPr>
      <w:r>
        <w:rPr>
          <w:rFonts w:hint="eastAsia" w:ascii="宋体" w:hAnsi="宋体"/>
          <w:szCs w:val="21"/>
        </w:rPr>
        <w:t>经研究，我方决定参加</w:t>
      </w:r>
      <w:r>
        <w:rPr>
          <w:rFonts w:hint="eastAsia" w:ascii="宋体" w:hAnsi="宋体"/>
          <w:szCs w:val="21"/>
          <w:u w:val="single"/>
        </w:rPr>
        <w:t xml:space="preserve"> （项目名称） </w:t>
      </w:r>
      <w:r>
        <w:rPr>
          <w:rFonts w:hint="eastAsia" w:ascii="宋体" w:hAnsi="宋体"/>
          <w:szCs w:val="21"/>
        </w:rPr>
        <w:t>项目（项目编号：）的招标活动并提交投标文件。为此，我方郑重声明以下诸点，并负法律责任：</w:t>
      </w:r>
    </w:p>
    <w:p w14:paraId="10415075">
      <w:pPr>
        <w:spacing w:line="360" w:lineRule="auto"/>
        <w:ind w:firstLine="420" w:firstLineChars="200"/>
        <w:rPr>
          <w:rFonts w:ascii="宋体" w:hAnsi="宋体"/>
          <w:szCs w:val="21"/>
        </w:rPr>
      </w:pPr>
      <w:r>
        <w:rPr>
          <w:rFonts w:hint="eastAsia" w:ascii="宋体" w:hAnsi="宋体"/>
          <w:szCs w:val="21"/>
        </w:rPr>
        <w:t>1.我方完全理解并接受招标文件的各项规定和要求，对招标文件的合理性、合法性不再有异议，同意按照招标文件要求提供与投标有关的一切数据或资料。</w:t>
      </w:r>
    </w:p>
    <w:p w14:paraId="69D6CFB4">
      <w:pPr>
        <w:spacing w:line="360" w:lineRule="auto"/>
        <w:ind w:firstLine="420" w:firstLineChars="200"/>
        <w:rPr>
          <w:rFonts w:ascii="宋体" w:hAnsi="宋体"/>
          <w:szCs w:val="21"/>
        </w:rPr>
      </w:pPr>
      <w:r>
        <w:rPr>
          <w:rFonts w:hint="eastAsia" w:ascii="宋体" w:hAnsi="宋体"/>
          <w:szCs w:val="21"/>
        </w:rPr>
        <w:t>2.我方承诺除招标文件条款响应和偏离表列出的偏离外，我方响应招标文件的全部要求。</w:t>
      </w:r>
    </w:p>
    <w:p w14:paraId="158913B3">
      <w:pPr>
        <w:spacing w:line="360" w:lineRule="auto"/>
        <w:ind w:firstLine="420" w:firstLineChars="200"/>
        <w:rPr>
          <w:rFonts w:ascii="宋体" w:hAnsi="宋体"/>
          <w:szCs w:val="21"/>
        </w:rPr>
      </w:pPr>
      <w:r>
        <w:rPr>
          <w:rFonts w:hint="eastAsia" w:ascii="宋体" w:hAnsi="宋体"/>
          <w:szCs w:val="21"/>
        </w:rPr>
        <w:t>3.我方承诺在招标文件规定的投标有效期内不撤销投标文件。</w:t>
      </w:r>
    </w:p>
    <w:p w14:paraId="4934E974">
      <w:pPr>
        <w:spacing w:line="360" w:lineRule="auto"/>
        <w:ind w:firstLine="420" w:firstLineChars="200"/>
        <w:rPr>
          <w:rFonts w:ascii="宋体" w:hAnsi="宋体"/>
          <w:szCs w:val="21"/>
        </w:rPr>
      </w:pPr>
      <w:r>
        <w:rPr>
          <w:rFonts w:hint="eastAsia" w:ascii="宋体" w:hAnsi="宋体"/>
          <w:szCs w:val="21"/>
        </w:rPr>
        <w:t>4.如我方中标，我方承诺：</w:t>
      </w:r>
    </w:p>
    <w:p w14:paraId="3821E66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）在收到中标通知书后，在中标通知书规定的期限内与你方签订合同；</w:t>
      </w:r>
    </w:p>
    <w:p w14:paraId="477179C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）在签订合同时不向你方提出附加条件；</w:t>
      </w:r>
    </w:p>
    <w:p w14:paraId="618223EB">
      <w:pPr>
        <w:spacing w:line="360" w:lineRule="auto"/>
        <w:ind w:firstLine="420" w:firstLineChars="200"/>
        <w:rPr>
          <w:rFonts w:ascii="宋体" w:hAnsi="宋体"/>
          <w:szCs w:val="21"/>
        </w:rPr>
      </w:pPr>
      <w:r>
        <w:rPr>
          <w:rFonts w:hint="eastAsia" w:ascii="宋体" w:hAnsi="宋体"/>
          <w:szCs w:val="21"/>
        </w:rPr>
        <w:t>（3）在合同约定的期限内完成合同规定的全部义务。</w:t>
      </w:r>
    </w:p>
    <w:p w14:paraId="7955A449">
      <w:pPr>
        <w:spacing w:line="360" w:lineRule="auto"/>
        <w:ind w:firstLine="420" w:firstLineChars="200"/>
        <w:rPr>
          <w:rFonts w:ascii="宋体" w:hAnsi="宋体"/>
          <w:szCs w:val="21"/>
        </w:rPr>
      </w:pPr>
      <w:r>
        <w:rPr>
          <w:rFonts w:hint="eastAsia" w:ascii="宋体" w:hAnsi="宋体"/>
          <w:szCs w:val="21"/>
        </w:rPr>
        <w:t>5．我方在此声明，所提交的投标文件及有关资料内容完整、真实和准确。</w:t>
      </w:r>
    </w:p>
    <w:p w14:paraId="66E03A87">
      <w:pPr>
        <w:spacing w:line="360" w:lineRule="auto"/>
        <w:ind w:firstLine="420" w:firstLineChars="200"/>
        <w:rPr>
          <w:rFonts w:ascii="宋体" w:hAnsi="宋体"/>
          <w:szCs w:val="21"/>
        </w:rPr>
      </w:pPr>
      <w:r>
        <w:rPr>
          <w:rFonts w:hint="eastAsia" w:ascii="宋体" w:hAnsi="宋体"/>
          <w:szCs w:val="21"/>
        </w:rPr>
        <w:t>6.（其他补充说明）。</w:t>
      </w:r>
    </w:p>
    <w:p w14:paraId="2F50DC55">
      <w:pPr>
        <w:spacing w:line="360" w:lineRule="auto"/>
        <w:ind w:firstLine="420" w:firstLineChars="200"/>
        <w:rPr>
          <w:rFonts w:ascii="宋体" w:hAnsi="宋体"/>
          <w:szCs w:val="21"/>
        </w:rPr>
      </w:pPr>
    </w:p>
    <w:p w14:paraId="09D09329">
      <w:pPr>
        <w:spacing w:line="360" w:lineRule="auto"/>
        <w:ind w:firstLine="420" w:firstLineChars="200"/>
        <w:rPr>
          <w:rFonts w:ascii="宋体" w:hAnsi="宋体"/>
          <w:szCs w:val="21"/>
        </w:rPr>
      </w:pPr>
    </w:p>
    <w:p w14:paraId="5772444B">
      <w:pPr>
        <w:spacing w:line="360" w:lineRule="auto"/>
        <w:ind w:firstLine="3685" w:firstLineChars="1755"/>
        <w:rPr>
          <w:rFonts w:ascii="宋体" w:hAnsi="宋体"/>
          <w:szCs w:val="21"/>
        </w:rPr>
      </w:pPr>
      <w:r>
        <w:rPr>
          <w:rFonts w:hint="eastAsia" w:ascii="宋体" w:hAnsi="宋体"/>
          <w:szCs w:val="21"/>
        </w:rPr>
        <w:t>投 标 人：（盖单位公章）</w:t>
      </w:r>
    </w:p>
    <w:p w14:paraId="2C8E7273">
      <w:pPr>
        <w:spacing w:line="360" w:lineRule="auto"/>
        <w:ind w:firstLine="3685" w:firstLineChars="1755"/>
        <w:rPr>
          <w:rFonts w:ascii="宋体" w:hAnsi="宋体"/>
          <w:szCs w:val="21"/>
        </w:rPr>
      </w:pPr>
      <w:r>
        <w:rPr>
          <w:rFonts w:hint="eastAsia" w:ascii="宋体" w:hAnsi="宋体"/>
          <w:szCs w:val="21"/>
        </w:rPr>
        <w:t>法定代表人或其委托代理人：（签字或印章）</w:t>
      </w:r>
    </w:p>
    <w:p w14:paraId="7D5F1574">
      <w:pPr>
        <w:spacing w:line="360" w:lineRule="auto"/>
        <w:ind w:firstLine="3685" w:firstLineChars="1755"/>
        <w:rPr>
          <w:rFonts w:ascii="宋体" w:hAnsi="宋体"/>
          <w:szCs w:val="21"/>
        </w:rPr>
      </w:pPr>
      <w:r>
        <w:rPr>
          <w:rFonts w:hint="eastAsia" w:ascii="宋体" w:hAnsi="宋体"/>
          <w:szCs w:val="21"/>
        </w:rPr>
        <w:t>日    期：年月日</w:t>
      </w:r>
    </w:p>
    <w:p w14:paraId="0B77344B">
      <w:pPr>
        <w:topLinePunct/>
        <w:spacing w:line="600" w:lineRule="exact"/>
        <w:ind w:firstLine="480"/>
        <w:jc w:val="center"/>
        <w:rPr>
          <w:rFonts w:ascii="仿宋" w:hAnsi="仿宋" w:eastAsia="仿宋"/>
          <w:b/>
          <w:sz w:val="28"/>
          <w:szCs w:val="28"/>
        </w:rPr>
      </w:pPr>
    </w:p>
    <w:p w14:paraId="75293F69">
      <w:pPr>
        <w:topLinePunct/>
        <w:spacing w:line="600" w:lineRule="exact"/>
        <w:ind w:firstLine="480"/>
        <w:jc w:val="center"/>
        <w:rPr>
          <w:rFonts w:ascii="仿宋" w:hAnsi="仿宋" w:eastAsia="仿宋"/>
          <w:b/>
          <w:sz w:val="28"/>
          <w:szCs w:val="28"/>
        </w:rPr>
      </w:pPr>
    </w:p>
    <w:p w14:paraId="54F2697E">
      <w:pPr>
        <w:topLinePunct/>
        <w:spacing w:line="600" w:lineRule="exact"/>
        <w:ind w:firstLine="480"/>
        <w:jc w:val="center"/>
        <w:rPr>
          <w:rFonts w:ascii="仿宋" w:hAnsi="仿宋" w:eastAsia="仿宋"/>
          <w:b/>
          <w:sz w:val="28"/>
          <w:szCs w:val="28"/>
        </w:rPr>
      </w:pPr>
    </w:p>
    <w:p w14:paraId="34979C14">
      <w:pPr>
        <w:topLinePunct/>
        <w:spacing w:line="600" w:lineRule="exact"/>
        <w:ind w:firstLine="480"/>
        <w:jc w:val="center"/>
        <w:rPr>
          <w:rFonts w:ascii="仿宋" w:hAnsi="仿宋" w:eastAsia="仿宋"/>
          <w:b/>
          <w:sz w:val="28"/>
          <w:szCs w:val="28"/>
        </w:rPr>
      </w:pPr>
    </w:p>
    <w:p w14:paraId="2A12C4F8">
      <w:pPr>
        <w:topLinePunct/>
        <w:spacing w:line="600" w:lineRule="exact"/>
        <w:ind w:firstLine="480"/>
        <w:jc w:val="center"/>
        <w:rPr>
          <w:rFonts w:ascii="仿宋" w:hAnsi="仿宋" w:eastAsia="仿宋"/>
          <w:b/>
          <w:sz w:val="28"/>
          <w:szCs w:val="28"/>
        </w:rPr>
      </w:pPr>
    </w:p>
    <w:p w14:paraId="690593C7">
      <w:pPr>
        <w:topLinePunct/>
        <w:spacing w:line="600" w:lineRule="exact"/>
        <w:ind w:firstLine="480"/>
        <w:jc w:val="center"/>
        <w:rPr>
          <w:rFonts w:ascii="仿宋" w:hAnsi="仿宋" w:eastAsia="仿宋"/>
          <w:b/>
          <w:sz w:val="28"/>
          <w:szCs w:val="28"/>
        </w:rPr>
      </w:pPr>
    </w:p>
    <w:p w14:paraId="3057EDBF">
      <w:pPr>
        <w:topLinePunct/>
        <w:spacing w:line="600" w:lineRule="exact"/>
        <w:ind w:firstLine="480"/>
        <w:jc w:val="center"/>
        <w:rPr>
          <w:rFonts w:ascii="仿宋" w:hAnsi="仿宋" w:eastAsia="仿宋"/>
          <w:b/>
          <w:sz w:val="28"/>
          <w:szCs w:val="28"/>
        </w:rPr>
      </w:pPr>
    </w:p>
    <w:p w14:paraId="2BF9E843">
      <w:pPr>
        <w:topLinePunct/>
        <w:spacing w:line="600" w:lineRule="exact"/>
        <w:ind w:firstLine="480"/>
        <w:jc w:val="center"/>
        <w:rPr>
          <w:rFonts w:ascii="仿宋" w:hAnsi="仿宋" w:eastAsia="仿宋"/>
          <w:bCs/>
          <w:sz w:val="28"/>
          <w:szCs w:val="28"/>
        </w:rPr>
      </w:pPr>
      <w:r>
        <w:rPr>
          <w:rFonts w:hint="eastAsia" w:ascii="仿宋" w:hAnsi="仿宋" w:eastAsia="仿宋"/>
          <w:b/>
          <w:bCs/>
          <w:sz w:val="28"/>
          <w:szCs w:val="28"/>
        </w:rPr>
        <w:t>2.法定代表人身份证明</w:t>
      </w:r>
      <w:bookmarkEnd w:id="55"/>
      <w:bookmarkEnd w:id="56"/>
      <w:bookmarkEnd w:id="57"/>
      <w:bookmarkEnd w:id="58"/>
      <w:bookmarkEnd w:id="59"/>
      <w:bookmarkEnd w:id="60"/>
      <w:bookmarkEnd w:id="61"/>
    </w:p>
    <w:p w14:paraId="5EC4B6E5">
      <w:pPr>
        <w:topLinePunct/>
        <w:spacing w:line="600" w:lineRule="exact"/>
        <w:ind w:firstLine="480"/>
        <w:rPr>
          <w:rFonts w:ascii="仿宋" w:hAnsi="仿宋" w:eastAsia="仿宋"/>
          <w:bCs/>
          <w:sz w:val="28"/>
          <w:szCs w:val="28"/>
          <w:u w:val="single"/>
        </w:rPr>
      </w:pPr>
      <w:r>
        <w:rPr>
          <w:rFonts w:hint="eastAsia" w:ascii="仿宋" w:hAnsi="仿宋" w:eastAsia="仿宋"/>
          <w:bCs/>
          <w:sz w:val="28"/>
          <w:szCs w:val="28"/>
        </w:rPr>
        <w:t>单位名称：</w:t>
      </w:r>
    </w:p>
    <w:p w14:paraId="227D9289">
      <w:pPr>
        <w:topLinePunct/>
        <w:spacing w:line="600" w:lineRule="exact"/>
        <w:ind w:firstLine="480"/>
        <w:rPr>
          <w:rFonts w:ascii="仿宋" w:hAnsi="仿宋" w:eastAsia="仿宋"/>
          <w:bCs/>
          <w:sz w:val="28"/>
          <w:szCs w:val="28"/>
        </w:rPr>
      </w:pPr>
      <w:r>
        <w:rPr>
          <w:rFonts w:hint="eastAsia" w:ascii="仿宋" w:hAnsi="仿宋" w:eastAsia="仿宋"/>
          <w:bCs/>
          <w:sz w:val="28"/>
          <w:szCs w:val="28"/>
        </w:rPr>
        <w:t>单位性质：</w:t>
      </w:r>
    </w:p>
    <w:p w14:paraId="30453136">
      <w:pPr>
        <w:topLinePunct/>
        <w:spacing w:line="600" w:lineRule="exact"/>
        <w:ind w:firstLine="480"/>
        <w:rPr>
          <w:rFonts w:ascii="仿宋" w:hAnsi="仿宋" w:eastAsia="仿宋"/>
          <w:bCs/>
          <w:sz w:val="28"/>
          <w:szCs w:val="28"/>
        </w:rPr>
      </w:pPr>
      <w:r>
        <w:rPr>
          <w:rFonts w:hint="eastAsia" w:ascii="仿宋" w:hAnsi="仿宋" w:eastAsia="仿宋"/>
          <w:bCs/>
          <w:sz w:val="28"/>
          <w:szCs w:val="28"/>
        </w:rPr>
        <w:t>成立时间：年月日</w:t>
      </w:r>
    </w:p>
    <w:p w14:paraId="2B7E1539">
      <w:pPr>
        <w:topLinePunct/>
        <w:spacing w:line="600" w:lineRule="exact"/>
        <w:ind w:firstLine="480"/>
        <w:rPr>
          <w:rFonts w:ascii="仿宋" w:hAnsi="仿宋" w:eastAsia="仿宋"/>
          <w:bCs/>
          <w:sz w:val="28"/>
          <w:szCs w:val="28"/>
        </w:rPr>
      </w:pPr>
      <w:r>
        <w:rPr>
          <w:rFonts w:hint="eastAsia" w:ascii="仿宋" w:hAnsi="仿宋" w:eastAsia="仿宋"/>
          <w:bCs/>
          <w:sz w:val="28"/>
          <w:szCs w:val="28"/>
        </w:rPr>
        <w:t>经营期限：</w:t>
      </w:r>
    </w:p>
    <w:p w14:paraId="6B042433">
      <w:pPr>
        <w:topLinePunct/>
        <w:spacing w:line="600" w:lineRule="exact"/>
        <w:ind w:firstLine="480"/>
        <w:rPr>
          <w:rFonts w:ascii="仿宋" w:hAnsi="仿宋" w:eastAsia="仿宋"/>
          <w:bCs/>
          <w:sz w:val="28"/>
          <w:szCs w:val="28"/>
          <w:u w:val="single"/>
        </w:rPr>
      </w:pPr>
      <w:r>
        <w:rPr>
          <w:rFonts w:hint="eastAsia" w:ascii="仿宋" w:hAnsi="仿宋" w:eastAsia="仿宋"/>
          <w:bCs/>
          <w:sz w:val="28"/>
          <w:szCs w:val="28"/>
        </w:rPr>
        <w:t>姓名：性别：年龄：职务：</w:t>
      </w:r>
    </w:p>
    <w:p w14:paraId="0AB551A4">
      <w:pPr>
        <w:topLinePunct/>
        <w:spacing w:line="600" w:lineRule="exact"/>
        <w:ind w:firstLine="480"/>
        <w:rPr>
          <w:rFonts w:ascii="仿宋" w:hAnsi="仿宋" w:eastAsia="仿宋"/>
          <w:bCs/>
          <w:sz w:val="28"/>
          <w:szCs w:val="28"/>
        </w:rPr>
      </w:pPr>
      <w:r>
        <w:rPr>
          <w:rFonts w:hint="eastAsia" w:ascii="仿宋" w:hAnsi="仿宋" w:eastAsia="仿宋"/>
          <w:bCs/>
          <w:sz w:val="28"/>
          <w:szCs w:val="28"/>
        </w:rPr>
        <w:t>系（单位名称）的法定代表人。</w:t>
      </w:r>
    </w:p>
    <w:p w14:paraId="1DF43C1D">
      <w:pPr>
        <w:topLinePunct/>
        <w:spacing w:line="600" w:lineRule="exact"/>
        <w:ind w:firstLine="480"/>
        <w:rPr>
          <w:rFonts w:ascii="仿宋" w:hAnsi="仿宋" w:eastAsia="仿宋"/>
          <w:bCs/>
          <w:sz w:val="28"/>
          <w:szCs w:val="28"/>
        </w:rPr>
      </w:pPr>
      <w:r>
        <w:rPr>
          <w:rFonts w:hint="eastAsia" w:ascii="仿宋" w:hAnsi="仿宋" w:eastAsia="仿宋"/>
          <w:bCs/>
          <w:sz w:val="28"/>
          <w:szCs w:val="28"/>
        </w:rPr>
        <w:t>特此证明。</w:t>
      </w:r>
    </w:p>
    <w:p w14:paraId="636FAAE8">
      <w:pPr>
        <w:pStyle w:val="8"/>
        <w:jc w:val="center"/>
        <w:rPr>
          <w:rFonts w:eastAsia="仿宋"/>
          <w:sz w:val="28"/>
          <w:szCs w:val="28"/>
        </w:rPr>
      </w:pPr>
      <w:r>
        <w:rPr>
          <w:rFonts w:hint="eastAsia" w:ascii="仿宋" w:hAnsi="仿宋" w:eastAsia="仿宋"/>
          <w:bCs/>
          <w:sz w:val="28"/>
          <w:szCs w:val="28"/>
        </w:rPr>
        <w:t>身份证复印件粘贴处</w:t>
      </w:r>
    </w:p>
    <w:tbl>
      <w:tblPr>
        <w:tblStyle w:val="12"/>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4A71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4386" w:type="dxa"/>
            <w:vAlign w:val="center"/>
          </w:tcPr>
          <w:p w14:paraId="4AD153EC">
            <w:pPr>
              <w:spacing w:line="360" w:lineRule="auto"/>
              <w:jc w:val="center"/>
              <w:rPr>
                <w:rFonts w:ascii="仿宋" w:hAnsi="仿宋" w:eastAsia="仿宋"/>
                <w:sz w:val="28"/>
                <w:szCs w:val="28"/>
              </w:rPr>
            </w:pPr>
          </w:p>
        </w:tc>
        <w:tc>
          <w:tcPr>
            <w:tcW w:w="4386" w:type="dxa"/>
            <w:vAlign w:val="center"/>
          </w:tcPr>
          <w:p w14:paraId="69B9F6C9">
            <w:pPr>
              <w:spacing w:line="360" w:lineRule="auto"/>
              <w:jc w:val="center"/>
              <w:rPr>
                <w:rFonts w:ascii="仿宋" w:hAnsi="仿宋" w:eastAsia="仿宋"/>
                <w:sz w:val="28"/>
                <w:szCs w:val="28"/>
              </w:rPr>
            </w:pPr>
          </w:p>
        </w:tc>
      </w:tr>
    </w:tbl>
    <w:p w14:paraId="7928FFD2">
      <w:pPr>
        <w:topLinePunct/>
        <w:spacing w:line="440" w:lineRule="exact"/>
        <w:ind w:firstLine="480"/>
        <w:rPr>
          <w:rFonts w:ascii="仿宋" w:hAnsi="仿宋" w:eastAsia="仿宋"/>
          <w:bCs/>
          <w:sz w:val="28"/>
          <w:szCs w:val="28"/>
        </w:rPr>
      </w:pPr>
    </w:p>
    <w:p w14:paraId="7E87DE76">
      <w:pPr>
        <w:topLinePunct/>
        <w:spacing w:line="440" w:lineRule="exact"/>
        <w:ind w:firstLine="480"/>
        <w:rPr>
          <w:rFonts w:ascii="仿宋" w:hAnsi="仿宋" w:eastAsia="仿宋"/>
          <w:bCs/>
          <w:sz w:val="28"/>
          <w:szCs w:val="28"/>
        </w:rPr>
      </w:pPr>
    </w:p>
    <w:p w14:paraId="6FC43B27">
      <w:pPr>
        <w:topLinePunct/>
        <w:spacing w:line="480" w:lineRule="auto"/>
        <w:ind w:firstLine="480"/>
        <w:rPr>
          <w:rFonts w:ascii="仿宋" w:hAnsi="仿宋" w:eastAsia="仿宋"/>
          <w:bCs/>
          <w:sz w:val="28"/>
          <w:szCs w:val="28"/>
        </w:rPr>
      </w:pPr>
      <w:r>
        <w:rPr>
          <w:rFonts w:hint="eastAsia" w:ascii="仿宋" w:hAnsi="仿宋" w:eastAsia="仿宋"/>
          <w:bCs/>
          <w:sz w:val="28"/>
          <w:szCs w:val="28"/>
        </w:rPr>
        <w:t>报价人：（盖单位章）</w:t>
      </w:r>
    </w:p>
    <w:p w14:paraId="66ED474F">
      <w:pPr>
        <w:topLinePunct/>
        <w:spacing w:line="480" w:lineRule="auto"/>
        <w:ind w:firstLine="490" w:firstLineChars="175"/>
        <w:rPr>
          <w:rFonts w:ascii="仿宋" w:hAnsi="仿宋" w:eastAsia="仿宋"/>
          <w:bCs/>
          <w:sz w:val="28"/>
          <w:szCs w:val="28"/>
        </w:rPr>
      </w:pPr>
      <w:r>
        <w:rPr>
          <w:rFonts w:hint="eastAsia" w:ascii="仿宋" w:hAnsi="仿宋" w:eastAsia="仿宋"/>
          <w:bCs/>
          <w:sz w:val="28"/>
          <w:szCs w:val="28"/>
        </w:rPr>
        <w:t>法定代表人：（盖章或签字）</w:t>
      </w:r>
    </w:p>
    <w:p w14:paraId="19A3B5DC">
      <w:pPr>
        <w:topLinePunct/>
        <w:spacing w:line="480" w:lineRule="auto"/>
        <w:ind w:firstLine="480"/>
        <w:rPr>
          <w:rFonts w:ascii="仿宋" w:hAnsi="仿宋" w:eastAsia="仿宋"/>
          <w:bCs/>
          <w:sz w:val="28"/>
          <w:szCs w:val="28"/>
        </w:rPr>
      </w:pPr>
      <w:r>
        <w:rPr>
          <w:rFonts w:hint="eastAsia" w:ascii="仿宋" w:hAnsi="仿宋" w:eastAsia="仿宋"/>
          <w:bCs/>
          <w:sz w:val="28"/>
          <w:szCs w:val="28"/>
        </w:rPr>
        <w:t>日期：年月日</w:t>
      </w:r>
    </w:p>
    <w:p w14:paraId="5241A1A4">
      <w:pPr>
        <w:jc w:val="center"/>
        <w:outlineLvl w:val="1"/>
        <w:rPr>
          <w:rFonts w:ascii="仿宋" w:hAnsi="仿宋" w:eastAsia="仿宋"/>
          <w:b/>
          <w:color w:val="000000"/>
          <w:sz w:val="28"/>
          <w:szCs w:val="28"/>
        </w:rPr>
      </w:pPr>
      <w:r>
        <w:rPr>
          <w:rFonts w:ascii="仿宋" w:hAnsi="仿宋" w:eastAsia="仿宋"/>
          <w:sz w:val="28"/>
          <w:szCs w:val="28"/>
        </w:rPr>
        <w:br w:type="page"/>
      </w:r>
      <w:bookmarkStart w:id="62" w:name="_Toc20843"/>
      <w:bookmarkStart w:id="63" w:name="_Toc9342900"/>
      <w:bookmarkStart w:id="64" w:name="_Toc7797"/>
      <w:bookmarkStart w:id="65" w:name="_Toc152047264"/>
      <w:bookmarkStart w:id="66" w:name="_Toc9343238"/>
      <w:bookmarkStart w:id="67" w:name="_Toc14855"/>
      <w:bookmarkStart w:id="68" w:name="_Toc144974468"/>
      <w:bookmarkStart w:id="69" w:name="_Toc18088"/>
      <w:bookmarkStart w:id="70" w:name="_Toc360113100"/>
      <w:bookmarkStart w:id="71" w:name="_Toc8519"/>
      <w:bookmarkStart w:id="72" w:name="_Toc330225908"/>
      <w:bookmarkStart w:id="73" w:name="_Toc24340"/>
      <w:bookmarkStart w:id="74" w:name="_Toc480983369"/>
      <w:r>
        <w:rPr>
          <w:rFonts w:hint="eastAsia" w:ascii="仿宋" w:hAnsi="仿宋" w:eastAsia="仿宋"/>
          <w:sz w:val="28"/>
          <w:szCs w:val="28"/>
        </w:rPr>
        <w:t>3.</w:t>
      </w:r>
      <w:r>
        <w:rPr>
          <w:rFonts w:hint="eastAsia" w:ascii="仿宋" w:hAnsi="仿宋" w:eastAsia="仿宋" w:cs="仿宋_GB2312"/>
          <w:b/>
          <w:bCs/>
          <w:sz w:val="28"/>
          <w:szCs w:val="28"/>
        </w:rPr>
        <w:t>法定代表人授权委托书</w:t>
      </w:r>
      <w:bookmarkEnd w:id="62"/>
      <w:bookmarkEnd w:id="63"/>
      <w:bookmarkEnd w:id="64"/>
      <w:bookmarkEnd w:id="65"/>
      <w:bookmarkEnd w:id="66"/>
      <w:bookmarkEnd w:id="67"/>
      <w:bookmarkEnd w:id="68"/>
      <w:bookmarkEnd w:id="69"/>
      <w:bookmarkEnd w:id="70"/>
      <w:bookmarkEnd w:id="71"/>
      <w:bookmarkEnd w:id="72"/>
      <w:bookmarkEnd w:id="73"/>
      <w:bookmarkEnd w:id="74"/>
    </w:p>
    <w:p w14:paraId="5980868B">
      <w:pPr>
        <w:spacing w:line="400" w:lineRule="exact"/>
        <w:ind w:firstLine="480"/>
        <w:rPr>
          <w:rFonts w:ascii="仿宋" w:hAnsi="仿宋" w:eastAsia="仿宋"/>
          <w:sz w:val="28"/>
          <w:szCs w:val="28"/>
        </w:rPr>
      </w:pPr>
    </w:p>
    <w:p w14:paraId="74D27EC2">
      <w:pPr>
        <w:topLinePunct/>
        <w:spacing w:line="440" w:lineRule="exact"/>
        <w:ind w:firstLine="480"/>
        <w:rPr>
          <w:rFonts w:ascii="仿宋" w:hAnsi="仿宋" w:eastAsia="仿宋"/>
          <w:sz w:val="28"/>
          <w:szCs w:val="28"/>
        </w:rPr>
      </w:pPr>
      <w:r>
        <w:rPr>
          <w:rFonts w:hint="eastAsia" w:ascii="仿宋" w:hAnsi="仿宋" w:eastAsia="仿宋"/>
          <w:sz w:val="28"/>
          <w:szCs w:val="28"/>
        </w:rPr>
        <w:t>本人</w:t>
      </w:r>
      <w:r>
        <w:rPr>
          <w:rFonts w:hint="eastAsia" w:ascii="仿宋" w:hAnsi="仿宋" w:eastAsia="仿宋"/>
          <w:sz w:val="28"/>
          <w:szCs w:val="28"/>
          <w:u w:val="single"/>
        </w:rPr>
        <w:t>（姓名）</w:t>
      </w:r>
      <w:r>
        <w:rPr>
          <w:rFonts w:hint="eastAsia" w:ascii="仿宋" w:hAnsi="仿宋" w:eastAsia="仿宋"/>
          <w:sz w:val="28"/>
          <w:szCs w:val="28"/>
        </w:rPr>
        <w:t>系</w:t>
      </w:r>
      <w:r>
        <w:rPr>
          <w:rFonts w:hint="eastAsia" w:ascii="仿宋" w:hAnsi="仿宋" w:eastAsia="仿宋"/>
          <w:sz w:val="28"/>
          <w:szCs w:val="28"/>
          <w:u w:val="single"/>
        </w:rPr>
        <w:t>（响应单位名称）</w:t>
      </w:r>
      <w:r>
        <w:rPr>
          <w:rFonts w:hint="eastAsia" w:ascii="仿宋" w:hAnsi="仿宋" w:eastAsia="仿宋"/>
          <w:sz w:val="28"/>
          <w:szCs w:val="28"/>
        </w:rPr>
        <w:t>的法定代表人，现委托</w:t>
      </w:r>
      <w:r>
        <w:rPr>
          <w:rFonts w:hint="eastAsia" w:ascii="仿宋" w:hAnsi="仿宋" w:eastAsia="仿宋"/>
          <w:sz w:val="28"/>
          <w:szCs w:val="28"/>
          <w:u w:val="single"/>
        </w:rPr>
        <w:t>（姓名）</w:t>
      </w:r>
      <w:r>
        <w:rPr>
          <w:rFonts w:hint="eastAsia" w:ascii="仿宋" w:hAnsi="仿宋" w:eastAsia="仿宋"/>
          <w:sz w:val="28"/>
          <w:szCs w:val="28"/>
        </w:rPr>
        <w:t>为我方代理人，参加</w:t>
      </w:r>
      <w:r>
        <w:rPr>
          <w:rFonts w:hint="eastAsia" w:ascii="仿宋" w:hAnsi="仿宋" w:eastAsia="仿宋"/>
          <w:sz w:val="28"/>
          <w:szCs w:val="28"/>
          <w:u w:val="single"/>
        </w:rPr>
        <w:t xml:space="preserve">  （项目名称）        </w:t>
      </w:r>
      <w:r>
        <w:rPr>
          <w:rFonts w:hint="eastAsia" w:ascii="仿宋" w:hAnsi="仿宋" w:eastAsia="仿宋"/>
          <w:sz w:val="28"/>
          <w:szCs w:val="28"/>
        </w:rPr>
        <w:t>的采购活动。并在此项目采购过程中签署一切相关文件和处理与之有关的一切事务，其法律后果由我方承担。</w:t>
      </w:r>
    </w:p>
    <w:p w14:paraId="33E2E99E">
      <w:pPr>
        <w:topLinePunct/>
        <w:spacing w:line="440" w:lineRule="exact"/>
        <w:ind w:firstLine="480"/>
        <w:rPr>
          <w:rFonts w:ascii="仿宋" w:hAnsi="仿宋" w:eastAsia="仿宋"/>
          <w:color w:val="FF0000"/>
          <w:sz w:val="28"/>
          <w:szCs w:val="28"/>
          <w:u w:val="single"/>
        </w:rPr>
      </w:pPr>
      <w:r>
        <w:rPr>
          <w:rFonts w:hint="eastAsia" w:ascii="仿宋" w:hAnsi="仿宋" w:eastAsia="仿宋"/>
          <w:color w:val="FF0000"/>
          <w:sz w:val="28"/>
          <w:szCs w:val="28"/>
        </w:rPr>
        <w:t>委托期限：</w:t>
      </w:r>
      <w:r>
        <w:rPr>
          <w:rFonts w:ascii="仿宋" w:hAnsi="仿宋" w:eastAsia="仿宋"/>
          <w:color w:val="FF0000"/>
          <w:sz w:val="28"/>
          <w:szCs w:val="28"/>
          <w:u w:val="single"/>
        </w:rPr>
        <w:t xml:space="preserve"> </w:t>
      </w:r>
      <w:r>
        <w:rPr>
          <w:rFonts w:hint="eastAsia" w:ascii="仿宋" w:hAnsi="仿宋" w:eastAsia="仿宋"/>
          <w:color w:val="FF0000"/>
          <w:sz w:val="28"/>
          <w:szCs w:val="28"/>
          <w:u w:val="single"/>
        </w:rPr>
        <w:t>6</w:t>
      </w:r>
      <w:r>
        <w:rPr>
          <w:rFonts w:ascii="仿宋" w:hAnsi="仿宋" w:eastAsia="仿宋"/>
          <w:color w:val="FF0000"/>
          <w:sz w:val="28"/>
          <w:szCs w:val="28"/>
          <w:u w:val="single"/>
        </w:rPr>
        <w:t>0</w:t>
      </w:r>
      <w:r>
        <w:rPr>
          <w:rFonts w:hint="eastAsia" w:ascii="仿宋" w:hAnsi="仿宋" w:eastAsia="仿宋"/>
          <w:color w:val="FF0000"/>
          <w:sz w:val="28"/>
          <w:szCs w:val="28"/>
          <w:u w:val="single"/>
        </w:rPr>
        <w:t>日历天</w:t>
      </w:r>
      <w:r>
        <w:rPr>
          <w:rFonts w:hint="eastAsia" w:ascii="仿宋" w:hAnsi="仿宋" w:eastAsia="仿宋"/>
          <w:color w:val="FF0000"/>
          <w:sz w:val="28"/>
          <w:szCs w:val="28"/>
        </w:rPr>
        <w:t>。</w:t>
      </w:r>
    </w:p>
    <w:p w14:paraId="41623658">
      <w:pPr>
        <w:topLinePunct/>
        <w:spacing w:line="440" w:lineRule="exact"/>
        <w:ind w:firstLine="480"/>
        <w:rPr>
          <w:rFonts w:ascii="仿宋" w:hAnsi="仿宋" w:eastAsia="仿宋"/>
          <w:sz w:val="28"/>
          <w:szCs w:val="28"/>
        </w:rPr>
      </w:pPr>
      <w:r>
        <w:rPr>
          <w:rFonts w:hint="eastAsia" w:ascii="仿宋" w:hAnsi="仿宋" w:eastAsia="仿宋"/>
          <w:sz w:val="28"/>
          <w:szCs w:val="28"/>
        </w:rPr>
        <w:t>代理人无转委托权。</w:t>
      </w:r>
    </w:p>
    <w:p w14:paraId="43FF50F0">
      <w:pPr>
        <w:topLinePunct/>
        <w:spacing w:line="440" w:lineRule="exact"/>
        <w:ind w:firstLine="480"/>
        <w:rPr>
          <w:rFonts w:ascii="仿宋" w:hAnsi="仿宋" w:eastAsia="仿宋"/>
          <w:sz w:val="28"/>
          <w:szCs w:val="28"/>
        </w:rPr>
      </w:pPr>
      <w:r>
        <w:rPr>
          <w:rFonts w:hint="eastAsia" w:ascii="仿宋" w:hAnsi="仿宋" w:eastAsia="仿宋"/>
          <w:sz w:val="28"/>
          <w:szCs w:val="28"/>
        </w:rPr>
        <w:t>附：法定代表人身份证及被授权人身份证复印件</w:t>
      </w:r>
    </w:p>
    <w:p w14:paraId="3205F79B">
      <w:pPr>
        <w:topLinePunct/>
        <w:spacing w:line="440" w:lineRule="exact"/>
        <w:ind w:firstLine="480"/>
        <w:rPr>
          <w:rFonts w:ascii="仿宋" w:hAnsi="仿宋" w:eastAsia="仿宋"/>
          <w:sz w:val="24"/>
        </w:rPr>
      </w:pPr>
    </w:p>
    <w:tbl>
      <w:tblPr>
        <w:tblStyle w:val="12"/>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6"/>
        <w:gridCol w:w="4386"/>
      </w:tblGrid>
      <w:tr w14:paraId="073B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4386" w:type="dxa"/>
            <w:vAlign w:val="center"/>
          </w:tcPr>
          <w:p w14:paraId="0AB6694B">
            <w:pPr>
              <w:spacing w:line="360" w:lineRule="auto"/>
              <w:jc w:val="center"/>
              <w:rPr>
                <w:rFonts w:ascii="仿宋" w:hAnsi="仿宋" w:eastAsia="仿宋"/>
              </w:rPr>
            </w:pPr>
            <w:bookmarkStart w:id="75" w:name="_Hlk10043326"/>
          </w:p>
        </w:tc>
        <w:tc>
          <w:tcPr>
            <w:tcW w:w="4386" w:type="dxa"/>
            <w:vAlign w:val="center"/>
          </w:tcPr>
          <w:p w14:paraId="457BE40D">
            <w:pPr>
              <w:spacing w:line="360" w:lineRule="auto"/>
              <w:jc w:val="center"/>
              <w:rPr>
                <w:rFonts w:ascii="仿宋" w:hAnsi="仿宋" w:eastAsia="仿宋"/>
              </w:rPr>
            </w:pPr>
          </w:p>
        </w:tc>
      </w:tr>
      <w:tr w14:paraId="6D61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4386" w:type="dxa"/>
            <w:vAlign w:val="center"/>
          </w:tcPr>
          <w:p w14:paraId="6510B0AE">
            <w:pPr>
              <w:spacing w:line="360" w:lineRule="auto"/>
              <w:jc w:val="center"/>
              <w:rPr>
                <w:rFonts w:ascii="仿宋" w:hAnsi="仿宋" w:eastAsia="仿宋"/>
              </w:rPr>
            </w:pPr>
          </w:p>
        </w:tc>
        <w:tc>
          <w:tcPr>
            <w:tcW w:w="4386" w:type="dxa"/>
            <w:vAlign w:val="center"/>
          </w:tcPr>
          <w:p w14:paraId="5AC8C53D">
            <w:pPr>
              <w:spacing w:line="360" w:lineRule="auto"/>
              <w:jc w:val="center"/>
              <w:rPr>
                <w:rFonts w:ascii="仿宋" w:hAnsi="仿宋" w:eastAsia="仿宋"/>
              </w:rPr>
            </w:pPr>
          </w:p>
        </w:tc>
      </w:tr>
      <w:bookmarkEnd w:id="75"/>
    </w:tbl>
    <w:p w14:paraId="661D2B85">
      <w:pPr>
        <w:topLinePunct/>
        <w:spacing w:line="360" w:lineRule="auto"/>
        <w:rPr>
          <w:rFonts w:ascii="仿宋" w:hAnsi="仿宋" w:eastAsia="仿宋" w:cs="仿宋_GB2312"/>
          <w:sz w:val="24"/>
        </w:rPr>
      </w:pPr>
      <w:r>
        <w:rPr>
          <w:rFonts w:hint="eastAsia" w:ascii="仿宋" w:hAnsi="仿宋" w:eastAsia="仿宋" w:cs="仿宋_GB2312"/>
          <w:sz w:val="24"/>
        </w:rPr>
        <w:t>（仅委托代理人报价时提供）</w:t>
      </w:r>
    </w:p>
    <w:p w14:paraId="317E9DC4">
      <w:pPr>
        <w:topLinePunct/>
        <w:spacing w:line="360" w:lineRule="auto"/>
        <w:ind w:firstLine="3360" w:firstLineChars="1400"/>
        <w:rPr>
          <w:rFonts w:ascii="仿宋" w:hAnsi="仿宋" w:eastAsia="仿宋" w:cs="仿宋_GB2312"/>
          <w:sz w:val="24"/>
        </w:rPr>
      </w:pPr>
    </w:p>
    <w:p w14:paraId="3D44FDE8">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报价供应商：（盖单位章）</w:t>
      </w:r>
    </w:p>
    <w:p w14:paraId="77DE9770">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法定代表人：（盖章或签字）</w:t>
      </w:r>
    </w:p>
    <w:p w14:paraId="3C9F5DE7">
      <w:pPr>
        <w:topLinePunct/>
        <w:spacing w:line="360" w:lineRule="auto"/>
        <w:ind w:firstLine="420" w:firstLineChars="175"/>
        <w:rPr>
          <w:rFonts w:ascii="仿宋" w:hAnsi="仿宋" w:eastAsia="仿宋" w:cs="仿宋_GB2312"/>
          <w:sz w:val="24"/>
          <w:u w:val="single"/>
        </w:rPr>
      </w:pPr>
      <w:r>
        <w:rPr>
          <w:rFonts w:hint="eastAsia" w:ascii="仿宋" w:hAnsi="仿宋" w:eastAsia="仿宋" w:cs="仿宋_GB2312"/>
          <w:sz w:val="24"/>
        </w:rPr>
        <w:t>身份证号码：</w:t>
      </w:r>
    </w:p>
    <w:p w14:paraId="1404A55D">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委托代理人：（签字）</w:t>
      </w:r>
    </w:p>
    <w:p w14:paraId="3D9D0F5D">
      <w:pPr>
        <w:topLinePunct/>
        <w:spacing w:line="360" w:lineRule="auto"/>
        <w:ind w:firstLine="420" w:firstLineChars="175"/>
        <w:rPr>
          <w:rFonts w:ascii="仿宋" w:hAnsi="仿宋" w:eastAsia="仿宋" w:cs="仿宋_GB2312"/>
          <w:sz w:val="24"/>
          <w:u w:val="single"/>
        </w:rPr>
      </w:pPr>
      <w:r>
        <w:rPr>
          <w:rFonts w:hint="eastAsia" w:ascii="仿宋" w:hAnsi="仿宋" w:eastAsia="仿宋" w:cs="仿宋_GB2312"/>
          <w:sz w:val="24"/>
        </w:rPr>
        <w:t>身份证号码：</w:t>
      </w:r>
    </w:p>
    <w:p w14:paraId="593CC940">
      <w:pPr>
        <w:topLinePunct/>
        <w:spacing w:line="360" w:lineRule="auto"/>
        <w:ind w:firstLine="420" w:firstLineChars="175"/>
        <w:rPr>
          <w:rFonts w:ascii="仿宋" w:hAnsi="仿宋" w:eastAsia="仿宋" w:cs="仿宋_GB2312"/>
          <w:sz w:val="24"/>
        </w:rPr>
      </w:pPr>
      <w:r>
        <w:rPr>
          <w:rFonts w:hint="eastAsia" w:ascii="仿宋" w:hAnsi="仿宋" w:eastAsia="仿宋" w:cs="仿宋_GB2312"/>
          <w:sz w:val="24"/>
        </w:rPr>
        <w:t>日期：年月日</w:t>
      </w:r>
    </w:p>
    <w:p w14:paraId="43DD367A">
      <w:pPr>
        <w:rPr>
          <w:rFonts w:ascii="仿宋" w:hAnsi="仿宋" w:eastAsia="仿宋" w:cs="仿宋_GB2312"/>
          <w:b/>
          <w:bCs/>
          <w:sz w:val="28"/>
        </w:rPr>
      </w:pPr>
      <w:bookmarkStart w:id="76" w:name="_Toc480983370"/>
      <w:bookmarkStart w:id="77" w:name="_Toc360113103"/>
      <w:bookmarkStart w:id="78" w:name="_Toc330225911"/>
      <w:bookmarkStart w:id="79" w:name="_Toc25295"/>
      <w:bookmarkStart w:id="80" w:name="_Toc25339"/>
      <w:bookmarkStart w:id="81" w:name="_Toc9342901"/>
      <w:bookmarkStart w:id="82" w:name="_Toc29416"/>
      <w:bookmarkStart w:id="83" w:name="_Toc9343239"/>
      <w:bookmarkStart w:id="84" w:name="_Toc152047266"/>
      <w:bookmarkStart w:id="85" w:name="_Toc144974470"/>
    </w:p>
    <w:p w14:paraId="537E9DFC">
      <w:pPr>
        <w:pStyle w:val="8"/>
      </w:pPr>
    </w:p>
    <w:p w14:paraId="3BB82E13">
      <w:pPr>
        <w:ind w:firstLine="480"/>
        <w:jc w:val="center"/>
        <w:outlineLvl w:val="1"/>
        <w:rPr>
          <w:rFonts w:ascii="仿宋" w:hAnsi="仿宋" w:eastAsia="仿宋" w:cs="仿宋_GB2312"/>
          <w:b/>
          <w:bCs/>
          <w:sz w:val="28"/>
        </w:rPr>
        <w:sectPr>
          <w:pgSz w:w="11906" w:h="16838"/>
          <w:pgMar w:top="1440" w:right="1080" w:bottom="1440" w:left="1080" w:header="851" w:footer="992" w:gutter="0"/>
          <w:cols w:space="425" w:num="1"/>
          <w:docGrid w:type="lines" w:linePitch="312" w:charSpace="0"/>
        </w:sectPr>
      </w:pPr>
      <w:bookmarkStart w:id="86" w:name="_Toc8819"/>
      <w:bookmarkStart w:id="87" w:name="_Toc5332"/>
      <w:bookmarkStart w:id="88" w:name="_Toc25912"/>
    </w:p>
    <w:p w14:paraId="793C3D85">
      <w:pPr>
        <w:jc w:val="center"/>
        <w:outlineLvl w:val="1"/>
        <w:rPr>
          <w:rFonts w:ascii="仿宋" w:hAnsi="仿宋" w:eastAsia="仿宋" w:cs="仿宋_GB2312"/>
          <w:b/>
          <w:bCs/>
          <w:sz w:val="28"/>
        </w:rPr>
      </w:pPr>
      <w:r>
        <w:rPr>
          <w:rFonts w:hint="eastAsia" w:ascii="仿宋" w:hAnsi="仿宋" w:eastAsia="仿宋" w:cs="仿宋_GB2312"/>
          <w:b/>
          <w:bCs/>
          <w:sz w:val="28"/>
        </w:rPr>
        <w:t>3.响应方案及说明</w:t>
      </w:r>
    </w:p>
    <w:p w14:paraId="3140B680">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0215D15">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240D91C5">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5022B0A">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4E02E3F8">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369533C5">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38236A9F">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C76A49E">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23496B52">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27620A4D">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4D1E1D8C">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0F2402C">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8F7D5CE">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7A0471E">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5493EE19">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03ACC121">
      <w:pPr>
        <w:adjustRightInd w:val="0"/>
        <w:snapToGrid w:val="0"/>
        <w:spacing w:beforeLines="50" w:after="100" w:afterAutospacing="1" w:line="360" w:lineRule="auto"/>
        <w:ind w:firstLine="840" w:firstLineChars="300"/>
        <w:jc w:val="left"/>
        <w:rPr>
          <w:rFonts w:asciiTheme="minorEastAsia" w:hAnsiTheme="minorEastAsia" w:eastAsiaTheme="minorEastAsia" w:cstheme="minorEastAsia"/>
          <w:bCs/>
          <w:sz w:val="28"/>
          <w:szCs w:val="28"/>
        </w:rPr>
      </w:pPr>
    </w:p>
    <w:p w14:paraId="146D4D55">
      <w:pPr>
        <w:adjustRightInd w:val="0"/>
        <w:snapToGrid w:val="0"/>
        <w:spacing w:beforeLines="50" w:after="100" w:afterAutospacing="1"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4.开标一览表</w:t>
      </w:r>
    </w:p>
    <w:tbl>
      <w:tblPr>
        <w:tblStyle w:val="12"/>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7927"/>
      </w:tblGrid>
      <w:tr w14:paraId="5F2D5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20B19993">
            <w:pPr>
              <w:adjustRightInd w:val="0"/>
              <w:snapToGrid w:val="0"/>
              <w:spacing w:line="360" w:lineRule="auto"/>
              <w:jc w:val="both"/>
              <w:rPr>
                <w:rFonts w:ascii="黑体" w:hAnsi="黑体" w:eastAsia="黑体"/>
                <w:szCs w:val="21"/>
              </w:rPr>
            </w:pPr>
            <w:r>
              <w:rPr>
                <w:rFonts w:hint="eastAsia" w:ascii="黑体" w:hAnsi="黑体" w:eastAsia="黑体"/>
                <w:szCs w:val="21"/>
              </w:rPr>
              <w:t>项目名称</w:t>
            </w:r>
          </w:p>
        </w:tc>
        <w:tc>
          <w:tcPr>
            <w:tcW w:w="7927" w:type="dxa"/>
            <w:vAlign w:val="center"/>
          </w:tcPr>
          <w:p w14:paraId="6AC0B19A">
            <w:pPr>
              <w:adjustRightInd w:val="0"/>
              <w:snapToGrid w:val="0"/>
              <w:spacing w:line="360" w:lineRule="auto"/>
              <w:ind w:firstLine="404" w:firstLineChars="200"/>
              <w:jc w:val="center"/>
              <w:rPr>
                <w:rFonts w:ascii="宋体" w:hAnsi="宋体"/>
                <w:spacing w:val="-4"/>
                <w:szCs w:val="21"/>
              </w:rPr>
            </w:pPr>
          </w:p>
        </w:tc>
      </w:tr>
      <w:tr w14:paraId="061B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1D446AAF">
            <w:pPr>
              <w:adjustRightInd w:val="0"/>
              <w:snapToGrid w:val="0"/>
              <w:spacing w:line="360" w:lineRule="auto"/>
              <w:jc w:val="both"/>
              <w:rPr>
                <w:rFonts w:ascii="黑体" w:hAnsi="黑体" w:eastAsia="黑体"/>
                <w:szCs w:val="21"/>
              </w:rPr>
            </w:pPr>
            <w:r>
              <w:rPr>
                <w:rFonts w:hint="eastAsia" w:ascii="黑体" w:hAnsi="黑体" w:eastAsia="黑体"/>
                <w:szCs w:val="21"/>
              </w:rPr>
              <w:t>项目编号</w:t>
            </w:r>
          </w:p>
        </w:tc>
        <w:tc>
          <w:tcPr>
            <w:tcW w:w="7927" w:type="dxa"/>
            <w:vAlign w:val="center"/>
          </w:tcPr>
          <w:p w14:paraId="384696E8">
            <w:pPr>
              <w:adjustRightInd w:val="0"/>
              <w:snapToGrid w:val="0"/>
              <w:spacing w:line="360" w:lineRule="auto"/>
              <w:ind w:firstLine="420" w:firstLineChars="200"/>
              <w:jc w:val="center"/>
              <w:rPr>
                <w:rFonts w:ascii="宋体" w:hAnsi="宋体"/>
                <w:szCs w:val="21"/>
              </w:rPr>
            </w:pPr>
          </w:p>
        </w:tc>
      </w:tr>
      <w:tr w14:paraId="4E56D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Merge w:val="restart"/>
            <w:vAlign w:val="center"/>
          </w:tcPr>
          <w:p w14:paraId="4282EE05">
            <w:pPr>
              <w:adjustRightInd w:val="0"/>
              <w:snapToGrid w:val="0"/>
              <w:spacing w:line="360" w:lineRule="auto"/>
              <w:jc w:val="both"/>
              <w:rPr>
                <w:rFonts w:ascii="黑体" w:hAnsi="黑体" w:eastAsia="黑体"/>
                <w:szCs w:val="21"/>
              </w:rPr>
            </w:pPr>
            <w:r>
              <w:rPr>
                <w:rFonts w:hint="eastAsia" w:ascii="黑体" w:hAnsi="黑体" w:eastAsia="黑体"/>
                <w:szCs w:val="21"/>
              </w:rPr>
              <w:t>投标总价</w:t>
            </w:r>
          </w:p>
        </w:tc>
        <w:tc>
          <w:tcPr>
            <w:tcW w:w="7927" w:type="dxa"/>
            <w:vAlign w:val="center"/>
          </w:tcPr>
          <w:p w14:paraId="241B0BC2">
            <w:pPr>
              <w:adjustRightInd w:val="0"/>
              <w:snapToGrid w:val="0"/>
              <w:spacing w:line="360" w:lineRule="auto"/>
              <w:ind w:firstLine="420" w:firstLineChars="200"/>
              <w:rPr>
                <w:rFonts w:ascii="宋体" w:hAnsi="宋体"/>
                <w:szCs w:val="21"/>
              </w:rPr>
            </w:pPr>
          </w:p>
        </w:tc>
      </w:tr>
      <w:tr w14:paraId="04B34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59" w:type="dxa"/>
            <w:vMerge w:val="continue"/>
            <w:vAlign w:val="center"/>
          </w:tcPr>
          <w:p w14:paraId="77F8C4D7">
            <w:pPr>
              <w:adjustRightInd w:val="0"/>
              <w:snapToGrid w:val="0"/>
              <w:spacing w:line="360" w:lineRule="auto"/>
              <w:ind w:firstLine="420" w:firstLineChars="200"/>
              <w:jc w:val="center"/>
              <w:rPr>
                <w:rFonts w:ascii="黑体" w:hAnsi="黑体" w:eastAsia="黑体"/>
                <w:szCs w:val="21"/>
              </w:rPr>
            </w:pPr>
          </w:p>
        </w:tc>
        <w:tc>
          <w:tcPr>
            <w:tcW w:w="7927" w:type="dxa"/>
            <w:vAlign w:val="center"/>
          </w:tcPr>
          <w:p w14:paraId="521A1D6C">
            <w:pPr>
              <w:adjustRightInd w:val="0"/>
              <w:snapToGrid w:val="0"/>
              <w:spacing w:line="360" w:lineRule="auto"/>
              <w:ind w:firstLine="420" w:firstLineChars="200"/>
              <w:jc w:val="left"/>
              <w:rPr>
                <w:rFonts w:ascii="宋体" w:hAnsi="宋体"/>
                <w:szCs w:val="21"/>
              </w:rPr>
            </w:pPr>
          </w:p>
        </w:tc>
      </w:tr>
      <w:tr w14:paraId="2BFC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294FA594">
            <w:pPr>
              <w:adjustRightInd w:val="0"/>
              <w:snapToGrid w:val="0"/>
              <w:spacing w:line="360" w:lineRule="auto"/>
              <w:jc w:val="both"/>
              <w:rPr>
                <w:rFonts w:ascii="黑体" w:hAnsi="黑体" w:eastAsia="黑体"/>
                <w:szCs w:val="21"/>
              </w:rPr>
            </w:pPr>
            <w:r>
              <w:rPr>
                <w:rFonts w:hint="eastAsia" w:ascii="黑体" w:hAnsi="黑体" w:eastAsia="黑体"/>
                <w:szCs w:val="21"/>
              </w:rPr>
              <w:t>交 货 期</w:t>
            </w:r>
          </w:p>
        </w:tc>
        <w:tc>
          <w:tcPr>
            <w:tcW w:w="7927" w:type="dxa"/>
            <w:vAlign w:val="center"/>
          </w:tcPr>
          <w:p w14:paraId="71246555">
            <w:pPr>
              <w:adjustRightInd w:val="0"/>
              <w:snapToGrid w:val="0"/>
              <w:spacing w:line="360" w:lineRule="auto"/>
              <w:ind w:firstLine="420" w:firstLineChars="200"/>
              <w:jc w:val="center"/>
              <w:rPr>
                <w:rFonts w:ascii="宋体" w:hAnsi="宋体"/>
                <w:szCs w:val="21"/>
                <w:u w:val="single"/>
              </w:rPr>
            </w:pPr>
          </w:p>
        </w:tc>
      </w:tr>
      <w:tr w14:paraId="5A0C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010E7120">
            <w:pPr>
              <w:adjustRightInd w:val="0"/>
              <w:snapToGrid w:val="0"/>
              <w:spacing w:line="360" w:lineRule="auto"/>
              <w:jc w:val="both"/>
              <w:rPr>
                <w:rFonts w:ascii="黑体" w:hAnsi="黑体" w:eastAsia="黑体"/>
                <w:szCs w:val="21"/>
              </w:rPr>
            </w:pPr>
            <w:r>
              <w:rPr>
                <w:rFonts w:hint="eastAsia" w:ascii="黑体" w:hAnsi="黑体" w:eastAsia="黑体"/>
                <w:szCs w:val="21"/>
              </w:rPr>
              <w:t>质保期</w:t>
            </w:r>
          </w:p>
        </w:tc>
        <w:tc>
          <w:tcPr>
            <w:tcW w:w="7927" w:type="dxa"/>
            <w:vAlign w:val="center"/>
          </w:tcPr>
          <w:p w14:paraId="19A39632">
            <w:pPr>
              <w:adjustRightInd w:val="0"/>
              <w:snapToGrid w:val="0"/>
              <w:spacing w:line="360" w:lineRule="auto"/>
              <w:ind w:firstLine="420" w:firstLineChars="200"/>
              <w:jc w:val="center"/>
              <w:rPr>
                <w:rFonts w:ascii="宋体" w:hAnsi="宋体"/>
                <w:szCs w:val="21"/>
              </w:rPr>
            </w:pPr>
          </w:p>
        </w:tc>
      </w:tr>
      <w:tr w14:paraId="74A6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1165E6EE">
            <w:pPr>
              <w:adjustRightInd w:val="0"/>
              <w:snapToGrid w:val="0"/>
              <w:spacing w:line="360" w:lineRule="auto"/>
              <w:jc w:val="both"/>
              <w:rPr>
                <w:rFonts w:ascii="黑体" w:hAnsi="黑体" w:eastAsia="黑体"/>
                <w:szCs w:val="21"/>
              </w:rPr>
            </w:pPr>
            <w:r>
              <w:rPr>
                <w:rFonts w:hint="eastAsia" w:ascii="黑体" w:hAnsi="黑体" w:eastAsia="黑体"/>
                <w:szCs w:val="21"/>
              </w:rPr>
              <w:t>付款方式</w:t>
            </w:r>
          </w:p>
        </w:tc>
        <w:tc>
          <w:tcPr>
            <w:tcW w:w="7927" w:type="dxa"/>
            <w:vAlign w:val="center"/>
          </w:tcPr>
          <w:p w14:paraId="1662241D">
            <w:pPr>
              <w:adjustRightInd w:val="0"/>
              <w:snapToGrid w:val="0"/>
              <w:spacing w:line="360" w:lineRule="auto"/>
              <w:ind w:firstLine="420" w:firstLineChars="200"/>
              <w:jc w:val="center"/>
              <w:rPr>
                <w:rFonts w:ascii="宋体" w:hAnsi="宋体"/>
                <w:szCs w:val="21"/>
              </w:rPr>
            </w:pPr>
          </w:p>
        </w:tc>
      </w:tr>
      <w:tr w14:paraId="111B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114C60D3">
            <w:pPr>
              <w:adjustRightInd w:val="0"/>
              <w:snapToGrid w:val="0"/>
              <w:spacing w:line="360" w:lineRule="auto"/>
              <w:jc w:val="both"/>
              <w:rPr>
                <w:rFonts w:ascii="黑体" w:hAnsi="黑体" w:eastAsia="黑体"/>
                <w:szCs w:val="21"/>
              </w:rPr>
            </w:pPr>
            <w:r>
              <w:rPr>
                <w:rFonts w:hint="eastAsia" w:ascii="黑体" w:hAnsi="黑体" w:eastAsia="黑体"/>
                <w:szCs w:val="21"/>
              </w:rPr>
              <w:t>商务条件</w:t>
            </w:r>
          </w:p>
        </w:tc>
        <w:tc>
          <w:tcPr>
            <w:tcW w:w="7927" w:type="dxa"/>
            <w:vAlign w:val="center"/>
          </w:tcPr>
          <w:p w14:paraId="43AF8423">
            <w:pPr>
              <w:adjustRightInd w:val="0"/>
              <w:snapToGrid w:val="0"/>
              <w:spacing w:line="360" w:lineRule="auto"/>
              <w:ind w:firstLine="420" w:firstLineChars="200"/>
              <w:jc w:val="center"/>
              <w:rPr>
                <w:rFonts w:ascii="宋体" w:hAnsi="宋体"/>
                <w:szCs w:val="21"/>
              </w:rPr>
            </w:pPr>
          </w:p>
        </w:tc>
      </w:tr>
      <w:tr w14:paraId="28A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59" w:type="dxa"/>
            <w:vAlign w:val="center"/>
          </w:tcPr>
          <w:p w14:paraId="48A6585F">
            <w:pPr>
              <w:adjustRightInd w:val="0"/>
              <w:snapToGrid w:val="0"/>
              <w:spacing w:line="360" w:lineRule="auto"/>
              <w:jc w:val="both"/>
              <w:rPr>
                <w:rFonts w:ascii="黑体" w:hAnsi="黑体" w:eastAsia="黑体"/>
                <w:szCs w:val="21"/>
              </w:rPr>
            </w:pPr>
            <w:r>
              <w:rPr>
                <w:rFonts w:hint="eastAsia" w:ascii="黑体" w:hAnsi="黑体" w:eastAsia="黑体"/>
                <w:szCs w:val="21"/>
              </w:rPr>
              <w:t>技术条件</w:t>
            </w:r>
          </w:p>
        </w:tc>
        <w:tc>
          <w:tcPr>
            <w:tcW w:w="7927" w:type="dxa"/>
            <w:vAlign w:val="center"/>
          </w:tcPr>
          <w:p w14:paraId="20365075">
            <w:pPr>
              <w:adjustRightInd w:val="0"/>
              <w:snapToGrid w:val="0"/>
              <w:spacing w:line="360" w:lineRule="auto"/>
              <w:ind w:firstLine="420" w:firstLineChars="200"/>
              <w:jc w:val="center"/>
              <w:rPr>
                <w:rFonts w:ascii="宋体" w:hAnsi="宋体"/>
                <w:szCs w:val="21"/>
              </w:rPr>
            </w:pPr>
          </w:p>
        </w:tc>
      </w:tr>
    </w:tbl>
    <w:p w14:paraId="6FCA7853">
      <w:pPr>
        <w:adjustRightInd w:val="0"/>
        <w:snapToGrid w:val="0"/>
        <w:spacing w:line="360" w:lineRule="auto"/>
        <w:ind w:firstLine="420" w:firstLineChars="200"/>
        <w:rPr>
          <w:rFonts w:ascii="宋体" w:hAnsi="宋体"/>
          <w:szCs w:val="21"/>
        </w:rPr>
      </w:pPr>
    </w:p>
    <w:p w14:paraId="7DAD2501">
      <w:pPr>
        <w:adjustRightInd w:val="0"/>
        <w:snapToGrid w:val="0"/>
        <w:spacing w:line="360" w:lineRule="auto"/>
        <w:ind w:firstLine="420" w:firstLineChars="200"/>
        <w:rPr>
          <w:rFonts w:ascii="宋体" w:hAnsi="宋体"/>
          <w:szCs w:val="21"/>
        </w:rPr>
      </w:pPr>
    </w:p>
    <w:p w14:paraId="1C70FF39">
      <w:pPr>
        <w:adjustRightInd w:val="0"/>
        <w:snapToGrid w:val="0"/>
        <w:spacing w:line="360" w:lineRule="auto"/>
        <w:ind w:firstLine="420" w:firstLineChars="200"/>
        <w:rPr>
          <w:rFonts w:ascii="宋体" w:hAnsi="宋体"/>
          <w:szCs w:val="21"/>
        </w:rPr>
      </w:pPr>
      <w:r>
        <w:rPr>
          <w:rFonts w:hint="eastAsia" w:ascii="宋体" w:hAnsi="宋体"/>
          <w:szCs w:val="21"/>
        </w:rPr>
        <w:t>供应商：（盖供应商单位公章）</w:t>
      </w:r>
    </w:p>
    <w:p w14:paraId="21C93E1A">
      <w:pPr>
        <w:adjustRightInd w:val="0"/>
        <w:snapToGrid w:val="0"/>
        <w:spacing w:line="360" w:lineRule="auto"/>
        <w:ind w:firstLine="420" w:firstLineChars="200"/>
        <w:rPr>
          <w:rFonts w:ascii="宋体" w:hAnsi="宋体"/>
          <w:szCs w:val="21"/>
        </w:rPr>
      </w:pPr>
    </w:p>
    <w:p w14:paraId="05F3C3CF">
      <w:pPr>
        <w:adjustRightInd w:val="0"/>
        <w:snapToGrid w:val="0"/>
        <w:spacing w:line="360" w:lineRule="auto"/>
        <w:ind w:firstLine="420" w:firstLineChars="200"/>
        <w:rPr>
          <w:rFonts w:ascii="宋体" w:hAnsi="宋体"/>
          <w:szCs w:val="21"/>
        </w:rPr>
      </w:pPr>
      <w:r>
        <w:rPr>
          <w:rFonts w:hint="eastAsia" w:ascii="宋体" w:hAnsi="宋体"/>
          <w:szCs w:val="21"/>
        </w:rPr>
        <w:t>法定代表人或其委托代理人：（签字或印章）</w:t>
      </w:r>
    </w:p>
    <w:p w14:paraId="7D085F5C">
      <w:pPr>
        <w:adjustRightInd w:val="0"/>
        <w:snapToGrid w:val="0"/>
        <w:spacing w:line="360" w:lineRule="auto"/>
        <w:ind w:firstLine="420" w:firstLineChars="200"/>
        <w:rPr>
          <w:rFonts w:ascii="宋体" w:hAnsi="宋体"/>
          <w:szCs w:val="21"/>
        </w:rPr>
      </w:pPr>
    </w:p>
    <w:p w14:paraId="0A7530AE">
      <w:pPr>
        <w:adjustRightInd w:val="0"/>
        <w:snapToGrid w:val="0"/>
        <w:spacing w:line="360" w:lineRule="auto"/>
        <w:ind w:firstLine="420" w:firstLineChars="200"/>
        <w:rPr>
          <w:rFonts w:ascii="宋体" w:hAnsi="宋体"/>
          <w:szCs w:val="21"/>
        </w:rPr>
      </w:pPr>
      <w:r>
        <w:rPr>
          <w:rFonts w:hint="eastAsia" w:ascii="宋体" w:hAnsi="宋体"/>
          <w:szCs w:val="21"/>
        </w:rPr>
        <w:t>日  期：年月日</w:t>
      </w:r>
    </w:p>
    <w:p w14:paraId="26E1833D">
      <w:pPr>
        <w:ind w:firstLine="480"/>
        <w:jc w:val="right"/>
        <w:outlineLvl w:val="1"/>
        <w:rPr>
          <w:rFonts w:ascii="仿宋" w:hAnsi="仿宋" w:eastAsia="仿宋" w:cs="仿宋_GB2312"/>
          <w:sz w:val="28"/>
        </w:rPr>
      </w:pPr>
    </w:p>
    <w:p w14:paraId="7A714DCE">
      <w:pPr>
        <w:pStyle w:val="8"/>
        <w:rPr>
          <w:rFonts w:ascii="仿宋" w:hAnsi="仿宋" w:eastAsia="仿宋" w:cs="仿宋_GB2312"/>
          <w:sz w:val="28"/>
        </w:rPr>
      </w:pPr>
    </w:p>
    <w:p w14:paraId="1C85E614">
      <w:pPr>
        <w:pStyle w:val="8"/>
        <w:rPr>
          <w:rFonts w:ascii="仿宋" w:hAnsi="仿宋" w:eastAsia="仿宋" w:cs="仿宋_GB2312"/>
          <w:sz w:val="28"/>
        </w:rPr>
      </w:pPr>
    </w:p>
    <w:p w14:paraId="4DB8A12F">
      <w:pPr>
        <w:pStyle w:val="8"/>
        <w:rPr>
          <w:rFonts w:ascii="仿宋" w:hAnsi="仿宋" w:eastAsia="仿宋" w:cs="仿宋_GB2312"/>
          <w:sz w:val="28"/>
        </w:rPr>
      </w:pPr>
    </w:p>
    <w:p w14:paraId="3A9DB8C1">
      <w:pPr>
        <w:pStyle w:val="8"/>
        <w:rPr>
          <w:rFonts w:ascii="仿宋" w:hAnsi="仿宋" w:eastAsia="仿宋" w:cs="仿宋_GB2312"/>
          <w:sz w:val="28"/>
        </w:rPr>
      </w:pPr>
    </w:p>
    <w:p w14:paraId="717AD304">
      <w:pPr>
        <w:pStyle w:val="8"/>
        <w:rPr>
          <w:rFonts w:ascii="仿宋" w:hAnsi="仿宋" w:eastAsia="仿宋" w:cs="仿宋_GB2312"/>
          <w:sz w:val="28"/>
        </w:rPr>
      </w:pPr>
    </w:p>
    <w:p w14:paraId="68F29FAC">
      <w:pPr>
        <w:pStyle w:val="8"/>
        <w:rPr>
          <w:rFonts w:ascii="仿宋" w:hAnsi="仿宋" w:eastAsia="仿宋" w:cs="仿宋_GB2312"/>
          <w:sz w:val="28"/>
        </w:rPr>
      </w:pPr>
    </w:p>
    <w:p w14:paraId="3BAFAF1E">
      <w:pPr>
        <w:pStyle w:val="8"/>
        <w:rPr>
          <w:rFonts w:ascii="仿宋" w:hAnsi="仿宋" w:eastAsia="仿宋" w:cs="仿宋_GB2312"/>
          <w:sz w:val="28"/>
        </w:rPr>
      </w:pPr>
    </w:p>
    <w:p w14:paraId="08AEF572">
      <w:pPr>
        <w:pStyle w:val="8"/>
        <w:rPr>
          <w:rFonts w:ascii="仿宋" w:hAnsi="仿宋" w:eastAsia="仿宋" w:cs="仿宋_GB2312"/>
          <w:sz w:val="28"/>
        </w:rPr>
      </w:pPr>
    </w:p>
    <w:p w14:paraId="6E5D4233">
      <w:pPr>
        <w:pStyle w:val="8"/>
        <w:rPr>
          <w:rFonts w:ascii="仿宋" w:hAnsi="仿宋" w:eastAsia="仿宋" w:cs="仿宋_GB2312"/>
          <w:sz w:val="28"/>
        </w:rPr>
      </w:pPr>
    </w:p>
    <w:p w14:paraId="3400F3E3">
      <w:pPr>
        <w:pStyle w:val="8"/>
        <w:rPr>
          <w:rFonts w:ascii="仿宋" w:hAnsi="仿宋" w:eastAsia="仿宋" w:cs="仿宋_GB2312"/>
          <w:sz w:val="28"/>
        </w:rPr>
      </w:pPr>
    </w:p>
    <w:p w14:paraId="55C6C436">
      <w:pPr>
        <w:pStyle w:val="8"/>
        <w:rPr>
          <w:rFonts w:ascii="仿宋" w:hAnsi="仿宋" w:eastAsia="仿宋" w:cs="仿宋_GB2312"/>
          <w:sz w:val="28"/>
        </w:rPr>
      </w:pPr>
    </w:p>
    <w:p w14:paraId="59952758">
      <w:pPr>
        <w:pStyle w:val="8"/>
        <w:rPr>
          <w:rFonts w:ascii="仿宋" w:hAnsi="仿宋" w:eastAsia="仿宋" w:cs="仿宋_GB2312"/>
          <w:sz w:val="28"/>
        </w:rPr>
      </w:pPr>
    </w:p>
    <w:p w14:paraId="1079506B">
      <w:pPr>
        <w:pStyle w:val="8"/>
        <w:jc w:val="center"/>
        <w:rPr>
          <w:rFonts w:ascii="仿宋" w:hAnsi="仿宋" w:eastAsia="仿宋" w:cs="仿宋_GB2312"/>
          <w:b/>
          <w:bCs/>
          <w:sz w:val="28"/>
        </w:rPr>
      </w:pPr>
      <w:r>
        <w:rPr>
          <w:rFonts w:hint="eastAsia" w:ascii="仿宋" w:hAnsi="仿宋" w:eastAsia="仿宋" w:cs="仿宋_GB2312"/>
          <w:b/>
          <w:bCs/>
          <w:sz w:val="28"/>
        </w:rPr>
        <w:t>5.报价清单</w:t>
      </w:r>
    </w:p>
    <w:p w14:paraId="348476B4">
      <w:pPr>
        <w:pStyle w:val="8"/>
        <w:rPr>
          <w:rFonts w:ascii="仿宋" w:hAnsi="仿宋" w:eastAsia="仿宋" w:cs="仿宋_GB2312"/>
          <w:sz w:val="28"/>
        </w:rPr>
      </w:pPr>
    </w:p>
    <w:p w14:paraId="65A5CBB4">
      <w:pPr>
        <w:pStyle w:val="8"/>
        <w:rPr>
          <w:rFonts w:ascii="仿宋" w:hAnsi="仿宋" w:eastAsia="仿宋" w:cs="仿宋_GB2312"/>
          <w:sz w:val="28"/>
        </w:rPr>
      </w:pPr>
    </w:p>
    <w:p w14:paraId="20DC3757">
      <w:pPr>
        <w:pStyle w:val="8"/>
        <w:rPr>
          <w:rFonts w:ascii="仿宋" w:hAnsi="仿宋" w:eastAsia="仿宋" w:cs="仿宋_GB2312"/>
          <w:sz w:val="28"/>
        </w:rPr>
      </w:pPr>
    </w:p>
    <w:p w14:paraId="4B30DE02">
      <w:pPr>
        <w:pStyle w:val="8"/>
        <w:rPr>
          <w:rFonts w:ascii="仿宋" w:hAnsi="仿宋" w:eastAsia="仿宋" w:cs="仿宋_GB2312"/>
          <w:sz w:val="28"/>
        </w:rPr>
      </w:pPr>
    </w:p>
    <w:p w14:paraId="6935108D">
      <w:pPr>
        <w:pStyle w:val="8"/>
        <w:rPr>
          <w:rFonts w:ascii="仿宋" w:hAnsi="仿宋" w:eastAsia="仿宋" w:cs="仿宋_GB2312"/>
          <w:sz w:val="28"/>
        </w:rPr>
      </w:pPr>
    </w:p>
    <w:p w14:paraId="1F88C755">
      <w:pPr>
        <w:pStyle w:val="8"/>
        <w:jc w:val="both"/>
        <w:rPr>
          <w:rFonts w:ascii="仿宋" w:hAnsi="仿宋" w:eastAsia="仿宋" w:cs="仿宋_GB2312"/>
          <w:sz w:val="28"/>
        </w:rPr>
        <w:sectPr>
          <w:pgSz w:w="11906" w:h="16838"/>
          <w:pgMar w:top="1440" w:right="1800" w:bottom="1440" w:left="1800" w:header="851" w:footer="992" w:gutter="0"/>
          <w:cols w:space="425" w:num="1"/>
          <w:docGrid w:type="lines" w:linePitch="312" w:charSpace="0"/>
        </w:sectPr>
      </w:pPr>
    </w:p>
    <w:p w14:paraId="1B5F7DAE">
      <w:pPr>
        <w:ind w:firstLine="480"/>
        <w:jc w:val="center"/>
        <w:outlineLvl w:val="1"/>
        <w:rPr>
          <w:rFonts w:ascii="仿宋" w:hAnsi="仿宋" w:eastAsia="仿宋"/>
          <w:b/>
          <w:color w:val="000000"/>
          <w:sz w:val="24"/>
        </w:rPr>
      </w:pPr>
      <w:r>
        <w:rPr>
          <w:rFonts w:hint="eastAsia" w:ascii="仿宋" w:hAnsi="仿宋" w:eastAsia="仿宋" w:cs="仿宋_GB2312"/>
          <w:b/>
          <w:bCs/>
          <w:sz w:val="28"/>
        </w:rPr>
        <w:t>6.合作商基本情况表</w:t>
      </w:r>
      <w:bookmarkEnd w:id="76"/>
      <w:bookmarkEnd w:id="77"/>
      <w:bookmarkEnd w:id="78"/>
      <w:bookmarkEnd w:id="79"/>
      <w:bookmarkEnd w:id="80"/>
      <w:bookmarkEnd w:id="81"/>
      <w:bookmarkEnd w:id="82"/>
      <w:bookmarkEnd w:id="83"/>
      <w:bookmarkEnd w:id="84"/>
      <w:bookmarkEnd w:id="85"/>
      <w:bookmarkEnd w:id="86"/>
      <w:bookmarkEnd w:id="87"/>
      <w:bookmarkEnd w:id="88"/>
    </w:p>
    <w:tbl>
      <w:tblPr>
        <w:tblStyle w:val="12"/>
        <w:tblW w:w="9735" w:type="dxa"/>
        <w:tblInd w:w="93" w:type="dxa"/>
        <w:tblLayout w:type="autofit"/>
        <w:tblCellMar>
          <w:top w:w="0" w:type="dxa"/>
          <w:left w:w="108" w:type="dxa"/>
          <w:bottom w:w="0" w:type="dxa"/>
          <w:right w:w="108" w:type="dxa"/>
        </w:tblCellMar>
      </w:tblPr>
      <w:tblGrid>
        <w:gridCol w:w="1680"/>
        <w:gridCol w:w="3075"/>
        <w:gridCol w:w="2085"/>
        <w:gridCol w:w="2895"/>
      </w:tblGrid>
      <w:tr w14:paraId="32E75C13">
        <w:tblPrEx>
          <w:tblCellMar>
            <w:top w:w="0" w:type="dxa"/>
            <w:left w:w="108" w:type="dxa"/>
            <w:bottom w:w="0" w:type="dxa"/>
            <w:right w:w="108" w:type="dxa"/>
          </w:tblCellMar>
        </w:tblPrEx>
        <w:trPr>
          <w:trHeight w:val="880" w:hRule="atLeast"/>
        </w:trPr>
        <w:tc>
          <w:tcPr>
            <w:tcW w:w="9735" w:type="dxa"/>
            <w:gridSpan w:val="4"/>
            <w:tcBorders>
              <w:top w:val="nil"/>
              <w:left w:val="nil"/>
              <w:bottom w:val="single" w:color="000000" w:sz="4" w:space="0"/>
              <w:right w:val="nil"/>
            </w:tcBorders>
            <w:shd w:val="clear" w:color="auto" w:fill="auto"/>
            <w:noWrap/>
            <w:vAlign w:val="center"/>
          </w:tcPr>
          <w:p w14:paraId="6CA3EB5F">
            <w:pPr>
              <w:widowControl/>
              <w:textAlignment w:val="center"/>
              <w:rPr>
                <w:rFonts w:ascii="仿宋" w:hAnsi="仿宋" w:eastAsia="仿宋" w:cs="仿宋"/>
                <w:b/>
                <w:bCs/>
                <w:color w:val="000000"/>
                <w:sz w:val="30"/>
                <w:szCs w:val="30"/>
              </w:rPr>
            </w:pPr>
          </w:p>
        </w:tc>
      </w:tr>
      <w:tr w14:paraId="2BAB9359">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7810">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供应商名称</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BA9B5">
            <w:pPr>
              <w:widowControl/>
              <w:jc w:val="center"/>
              <w:textAlignment w:val="center"/>
              <w:rPr>
                <w:rFonts w:ascii="仿宋" w:hAnsi="仿宋" w:eastAsia="仿宋" w:cs="仿宋"/>
                <w:color w:val="000000"/>
                <w:sz w:val="24"/>
              </w:rPr>
            </w:pPr>
          </w:p>
        </w:tc>
      </w:tr>
      <w:tr w14:paraId="2CECEAA6">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3A8C">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法人代表</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F85D">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C56A">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注册资金（万元）</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411B">
            <w:pPr>
              <w:widowControl/>
              <w:jc w:val="center"/>
              <w:textAlignment w:val="center"/>
              <w:rPr>
                <w:rFonts w:ascii="仿宋" w:hAnsi="仿宋" w:eastAsia="仿宋" w:cs="仿宋"/>
                <w:color w:val="000000"/>
                <w:sz w:val="24"/>
              </w:rPr>
            </w:pPr>
          </w:p>
        </w:tc>
      </w:tr>
      <w:tr w14:paraId="3146C6D4">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8C30">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注册地址</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E457">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1990">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注册时间</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C868">
            <w:pPr>
              <w:widowControl/>
              <w:jc w:val="center"/>
              <w:textAlignment w:val="center"/>
              <w:rPr>
                <w:rFonts w:ascii="仿宋" w:hAnsi="仿宋" w:eastAsia="仿宋" w:cs="仿宋"/>
                <w:color w:val="000000"/>
                <w:sz w:val="24"/>
              </w:rPr>
            </w:pPr>
          </w:p>
        </w:tc>
      </w:tr>
      <w:tr w14:paraId="1BFD33DE">
        <w:tblPrEx>
          <w:tblCellMar>
            <w:top w:w="0" w:type="dxa"/>
            <w:left w:w="108" w:type="dxa"/>
            <w:bottom w:w="0" w:type="dxa"/>
            <w:right w:w="108" w:type="dxa"/>
          </w:tblCellMar>
        </w:tblPrEx>
        <w:trPr>
          <w:trHeight w:val="90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A928">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联系人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F790">
            <w:pPr>
              <w:widowControl/>
              <w:jc w:val="center"/>
              <w:textAlignment w:val="center"/>
              <w:rPr>
                <w:rFonts w:ascii="仿宋" w:hAnsi="仿宋" w:eastAsia="仿宋" w:cs="仿宋"/>
                <w:color w:val="000000"/>
                <w:sz w:val="24"/>
              </w:rPr>
            </w:pP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5D23">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联系电话</w:t>
            </w:r>
          </w:p>
        </w:tc>
        <w:tc>
          <w:tcPr>
            <w:tcW w:w="2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ECB3">
            <w:pPr>
              <w:widowControl/>
              <w:jc w:val="center"/>
              <w:textAlignment w:val="center"/>
              <w:rPr>
                <w:rFonts w:ascii="仿宋" w:hAnsi="仿宋" w:eastAsia="仿宋" w:cs="仿宋"/>
                <w:color w:val="000000"/>
                <w:sz w:val="24"/>
              </w:rPr>
            </w:pPr>
          </w:p>
        </w:tc>
      </w:tr>
      <w:tr w14:paraId="15FDDA16">
        <w:tblPrEx>
          <w:tblCellMar>
            <w:top w:w="0" w:type="dxa"/>
            <w:left w:w="108" w:type="dxa"/>
            <w:bottom w:w="0" w:type="dxa"/>
            <w:right w:w="108" w:type="dxa"/>
          </w:tblCellMar>
        </w:tblPrEx>
        <w:trPr>
          <w:trHeight w:val="71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24B6">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主营业务</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6E90707B">
            <w:pPr>
              <w:widowControl/>
              <w:jc w:val="left"/>
              <w:textAlignment w:val="center"/>
              <w:rPr>
                <w:rFonts w:ascii="仿宋" w:hAnsi="仿宋" w:eastAsia="仿宋" w:cs="仿宋"/>
                <w:color w:val="000000"/>
                <w:sz w:val="24"/>
              </w:rPr>
            </w:pPr>
          </w:p>
        </w:tc>
      </w:tr>
      <w:tr w14:paraId="6D9ABB46">
        <w:tblPrEx>
          <w:tblCellMar>
            <w:top w:w="0" w:type="dxa"/>
            <w:left w:w="108" w:type="dxa"/>
            <w:bottom w:w="0" w:type="dxa"/>
            <w:right w:w="108" w:type="dxa"/>
          </w:tblCellMar>
        </w:tblPrEx>
        <w:trPr>
          <w:trHeight w:val="6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2E31">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收入（万元）</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0D1B32">
            <w:pPr>
              <w:widowControl/>
              <w:jc w:val="center"/>
              <w:textAlignment w:val="center"/>
              <w:rPr>
                <w:rFonts w:ascii="仿宋" w:hAnsi="仿宋" w:eastAsia="仿宋" w:cs="仿宋"/>
                <w:color w:val="000000"/>
                <w:sz w:val="24"/>
              </w:rPr>
            </w:pPr>
          </w:p>
        </w:tc>
      </w:tr>
      <w:tr w14:paraId="5DD8D35D">
        <w:tblPrEx>
          <w:tblCellMar>
            <w:top w:w="0" w:type="dxa"/>
            <w:left w:w="108" w:type="dxa"/>
            <w:bottom w:w="0" w:type="dxa"/>
            <w:right w:w="108" w:type="dxa"/>
          </w:tblCellMar>
        </w:tblPrEx>
        <w:trPr>
          <w:trHeight w:val="2673"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972E">
            <w:pPr>
              <w:widowControl/>
              <w:textAlignment w:val="center"/>
              <w:rPr>
                <w:rFonts w:ascii="仿宋" w:hAnsi="仿宋" w:eastAsia="仿宋" w:cs="仿宋"/>
                <w:color w:val="000000"/>
                <w:sz w:val="24"/>
              </w:rPr>
            </w:pPr>
            <w:r>
              <w:rPr>
                <w:rFonts w:hint="eastAsia" w:ascii="仿宋" w:hAnsi="仿宋" w:eastAsia="仿宋" w:cs="仿宋"/>
                <w:color w:val="000000"/>
                <w:kern w:val="0"/>
                <w:sz w:val="24"/>
              </w:rPr>
              <w:t>经营范围</w:t>
            </w:r>
          </w:p>
        </w:tc>
        <w:tc>
          <w:tcPr>
            <w:tcW w:w="8055" w:type="dxa"/>
            <w:gridSpan w:val="3"/>
            <w:tcBorders>
              <w:top w:val="single" w:color="000000" w:sz="4" w:space="0"/>
              <w:left w:val="single" w:color="000000" w:sz="4" w:space="0"/>
              <w:bottom w:val="nil"/>
              <w:right w:val="single" w:color="000000" w:sz="4" w:space="0"/>
            </w:tcBorders>
            <w:shd w:val="clear" w:color="auto" w:fill="auto"/>
            <w:vAlign w:val="center"/>
          </w:tcPr>
          <w:p w14:paraId="63876593">
            <w:pPr>
              <w:widowControl/>
              <w:jc w:val="left"/>
              <w:textAlignment w:val="center"/>
              <w:rPr>
                <w:rFonts w:ascii="仿宋" w:hAnsi="仿宋" w:eastAsia="仿宋" w:cs="仿宋"/>
                <w:color w:val="000000"/>
                <w:sz w:val="20"/>
                <w:szCs w:val="20"/>
              </w:rPr>
            </w:pPr>
          </w:p>
        </w:tc>
      </w:tr>
      <w:tr w14:paraId="5B9D5156">
        <w:tblPrEx>
          <w:tblCellMar>
            <w:top w:w="0" w:type="dxa"/>
            <w:left w:w="108" w:type="dxa"/>
            <w:bottom w:w="0" w:type="dxa"/>
            <w:right w:w="108" w:type="dxa"/>
          </w:tblCellMar>
        </w:tblPrEx>
        <w:trPr>
          <w:trHeight w:val="87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F45">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主要业绩</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5305F">
            <w:pPr>
              <w:widowControl/>
              <w:jc w:val="left"/>
              <w:textAlignment w:val="center"/>
              <w:rPr>
                <w:rFonts w:ascii="仿宋" w:hAnsi="仿宋" w:eastAsia="仿宋" w:cs="仿宋"/>
                <w:color w:val="000000"/>
                <w:sz w:val="24"/>
              </w:rPr>
            </w:pPr>
          </w:p>
        </w:tc>
      </w:tr>
      <w:tr w14:paraId="549465B8">
        <w:tblPrEx>
          <w:tblCellMar>
            <w:top w:w="0" w:type="dxa"/>
            <w:left w:w="108" w:type="dxa"/>
            <w:bottom w:w="0" w:type="dxa"/>
            <w:right w:w="108" w:type="dxa"/>
          </w:tblCellMar>
        </w:tblPrEx>
        <w:trPr>
          <w:trHeight w:val="8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AB5B">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公司性质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DB993D">
            <w:pPr>
              <w:widowControl/>
              <w:textAlignment w:val="center"/>
              <w:rPr>
                <w:rFonts w:ascii="仿宋" w:hAnsi="仿宋" w:eastAsia="仿宋" w:cs="仿宋"/>
                <w:color w:val="000000"/>
                <w:sz w:val="24"/>
              </w:rPr>
            </w:pPr>
          </w:p>
        </w:tc>
      </w:tr>
      <w:tr w14:paraId="079BC8AA">
        <w:tblPrEx>
          <w:tblCellMar>
            <w:top w:w="0" w:type="dxa"/>
            <w:left w:w="108" w:type="dxa"/>
            <w:bottom w:w="0" w:type="dxa"/>
            <w:right w:w="108" w:type="dxa"/>
          </w:tblCellMar>
        </w:tblPrEx>
        <w:trPr>
          <w:trHeight w:val="82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957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经营方式</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1C4C1">
            <w:pPr>
              <w:widowControl/>
              <w:textAlignment w:val="center"/>
              <w:rPr>
                <w:rFonts w:ascii="仿宋" w:hAnsi="仿宋" w:eastAsia="仿宋" w:cs="仿宋"/>
                <w:color w:val="000000"/>
                <w:sz w:val="24"/>
              </w:rPr>
            </w:pPr>
          </w:p>
        </w:tc>
      </w:tr>
      <w:tr w14:paraId="2F913816">
        <w:tblPrEx>
          <w:tblCellMar>
            <w:top w:w="0" w:type="dxa"/>
            <w:left w:w="108" w:type="dxa"/>
            <w:bottom w:w="0" w:type="dxa"/>
            <w:right w:w="108" w:type="dxa"/>
          </w:tblCellMar>
        </w:tblPrEx>
        <w:trPr>
          <w:trHeight w:val="1235"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AF8C">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资质</w:t>
            </w:r>
          </w:p>
        </w:tc>
        <w:tc>
          <w:tcPr>
            <w:tcW w:w="80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FBA970">
            <w:pPr>
              <w:widowControl/>
              <w:textAlignment w:val="center"/>
              <w:rPr>
                <w:rFonts w:ascii="仿宋" w:hAnsi="仿宋" w:eastAsia="仿宋" w:cs="仿宋"/>
                <w:color w:val="000000"/>
                <w:sz w:val="24"/>
              </w:rPr>
            </w:pPr>
          </w:p>
        </w:tc>
      </w:tr>
    </w:tbl>
    <w:p w14:paraId="634325DA">
      <w:pPr>
        <w:rPr>
          <w:rFonts w:ascii="仿宋" w:hAnsi="仿宋" w:eastAsia="仿宋" w:cs="仿宋"/>
          <w:sz w:val="28"/>
          <w:szCs w:val="28"/>
        </w:rPr>
      </w:pPr>
    </w:p>
    <w:p w14:paraId="7EE4A792">
      <w:pPr>
        <w:rPr>
          <w:rFonts w:ascii="仿宋" w:hAnsi="仿宋" w:eastAsia="仿宋" w:cs="仿宋"/>
          <w:sz w:val="28"/>
          <w:szCs w:val="28"/>
        </w:rPr>
      </w:pPr>
    </w:p>
    <w:p w14:paraId="71041C1C">
      <w:pPr>
        <w:rPr>
          <w:rFonts w:ascii="仿宋" w:hAnsi="仿宋" w:eastAsia="仿宋" w:cs="仿宋"/>
          <w:sz w:val="28"/>
          <w:szCs w:val="28"/>
        </w:rPr>
      </w:pPr>
    </w:p>
    <w:p w14:paraId="50A3F9BC">
      <w:pPr>
        <w:adjustRightInd w:val="0"/>
        <w:snapToGrid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7.其他应提供的证明资料：</w:t>
      </w:r>
    </w:p>
    <w:p w14:paraId="406BAACF">
      <w:pPr>
        <w:numPr>
          <w:ilvl w:val="0"/>
          <w:numId w:val="8"/>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营业执照副本复印件；</w:t>
      </w:r>
    </w:p>
    <w:p w14:paraId="45B59F3D">
      <w:pPr>
        <w:numPr>
          <w:ilvl w:val="0"/>
          <w:numId w:val="8"/>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缴纳税收证明资料（近一个月）完税证明或增值税申报表；</w:t>
      </w:r>
    </w:p>
    <w:p w14:paraId="1855C97C">
      <w:pPr>
        <w:numPr>
          <w:ilvl w:val="0"/>
          <w:numId w:val="8"/>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上年度纳税信用等级B级（含）以上，新注册企业M级；</w:t>
      </w:r>
    </w:p>
    <w:p w14:paraId="1F30DDAE">
      <w:pPr>
        <w:numPr>
          <w:ilvl w:val="0"/>
          <w:numId w:val="8"/>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缴纳社会保险证明资料（近一个月）；</w:t>
      </w:r>
    </w:p>
    <w:p w14:paraId="5A72DE38">
      <w:pPr>
        <w:numPr>
          <w:ilvl w:val="0"/>
          <w:numId w:val="8"/>
        </w:numPr>
        <w:adjustRightInd w:val="0"/>
        <w:snapToGrid w:val="0"/>
        <w:spacing w:line="360" w:lineRule="auto"/>
        <w:ind w:firstLine="560"/>
        <w:rPr>
          <w:rFonts w:ascii="仿宋" w:hAnsi="仿宋" w:eastAsia="仿宋" w:cs="仿宋"/>
          <w:sz w:val="28"/>
          <w:szCs w:val="28"/>
        </w:rPr>
      </w:pPr>
      <w:r>
        <w:rPr>
          <w:rFonts w:hint="eastAsia" w:ascii="仿宋" w:hAnsi="仿宋" w:eastAsia="仿宋" w:cs="仿宋"/>
          <w:sz w:val="28"/>
          <w:szCs w:val="28"/>
        </w:rPr>
        <w:t>法定代表人身份证明或者法定代表人授权委托书；</w:t>
      </w:r>
    </w:p>
    <w:p w14:paraId="5725F4C1">
      <w:pPr>
        <w:numPr>
          <w:ilvl w:val="0"/>
          <w:numId w:val="8"/>
        </w:numPr>
        <w:adjustRightInd w:val="0"/>
        <w:snapToGrid w:val="0"/>
        <w:spacing w:line="360" w:lineRule="auto"/>
        <w:ind w:firstLine="560"/>
        <w:rPr>
          <w:rFonts w:ascii="仿宋" w:hAnsi="仿宋" w:eastAsia="仿宋" w:cs="仿宋"/>
          <w:color w:val="FF0000"/>
          <w:sz w:val="28"/>
          <w:szCs w:val="28"/>
        </w:rPr>
      </w:pPr>
      <w:r>
        <w:rPr>
          <w:rFonts w:hint="eastAsia" w:ascii="仿宋" w:hAnsi="仿宋" w:eastAsia="仿宋" w:cs="仿宋"/>
          <w:sz w:val="28"/>
          <w:szCs w:val="28"/>
          <w:lang w:val="en-US" w:eastAsia="zh-CN"/>
        </w:rPr>
        <w:t>安全生产许可</w:t>
      </w:r>
      <w:r>
        <w:rPr>
          <w:rFonts w:hint="eastAsia" w:ascii="仿宋" w:hAnsi="仿宋" w:eastAsia="仿宋" w:cs="仿宋"/>
          <w:sz w:val="28"/>
          <w:szCs w:val="28"/>
        </w:rPr>
        <w:t>资质</w:t>
      </w:r>
      <w:r>
        <w:rPr>
          <w:rFonts w:hint="eastAsia" w:ascii="仿宋" w:hAnsi="仿宋" w:eastAsia="仿宋" w:cs="仿宋"/>
          <w:sz w:val="28"/>
          <w:szCs w:val="28"/>
          <w:lang w:eastAsia="zh-CN"/>
        </w:rPr>
        <w:t>；</w:t>
      </w:r>
    </w:p>
    <w:p w14:paraId="3A86B595">
      <w:pPr>
        <w:numPr>
          <w:ilvl w:val="0"/>
          <w:numId w:val="8"/>
        </w:numPr>
        <w:adjustRightInd w:val="0"/>
        <w:snapToGrid w:val="0"/>
        <w:spacing w:line="360" w:lineRule="auto"/>
        <w:ind w:firstLine="560"/>
        <w:rPr>
          <w:rFonts w:ascii="仿宋" w:hAnsi="仿宋" w:eastAsia="仿宋" w:cs="仿宋"/>
          <w:color w:val="FF0000"/>
          <w:sz w:val="28"/>
          <w:szCs w:val="28"/>
        </w:rPr>
      </w:pPr>
      <w:r>
        <w:rPr>
          <w:rFonts w:hint="eastAsia" w:ascii="仿宋" w:hAnsi="仿宋" w:eastAsia="仿宋" w:cs="仿宋"/>
          <w:bCs/>
          <w:color w:val="FF0000"/>
          <w:sz w:val="28"/>
          <w:szCs w:val="28"/>
        </w:rPr>
        <w:t>参与项目的业绩明细</w:t>
      </w:r>
    </w:p>
    <w:p w14:paraId="77B2766F">
      <w:pPr>
        <w:numPr>
          <w:ilvl w:val="0"/>
          <w:numId w:val="0"/>
        </w:numPr>
        <w:adjustRightInd w:val="0"/>
        <w:snapToGrid w:val="0"/>
        <w:spacing w:line="360" w:lineRule="auto"/>
        <w:ind w:left="630" w:leftChars="0"/>
        <w:rPr>
          <w:rFonts w:ascii="仿宋" w:hAnsi="仿宋" w:eastAsia="仿宋" w:cs="仿宋"/>
          <w:sz w:val="28"/>
          <w:szCs w:val="28"/>
        </w:rPr>
      </w:pPr>
    </w:p>
    <w:p w14:paraId="2BBF3CF3">
      <w:pPr>
        <w:widowControl/>
        <w:adjustRightInd w:val="0"/>
        <w:snapToGrid w:val="0"/>
        <w:spacing w:line="360" w:lineRule="auto"/>
        <w:ind w:firstLine="560" w:firstLineChars="200"/>
        <w:rPr>
          <w:rFonts w:ascii="黑体" w:hAnsi="黑体" w:eastAsia="黑体"/>
          <w:sz w:val="28"/>
          <w:szCs w:val="28"/>
        </w:rPr>
      </w:pPr>
    </w:p>
    <w:p w14:paraId="15E1BDBC">
      <w:pPr>
        <w:widowControl/>
        <w:adjustRightInd w:val="0"/>
        <w:snapToGrid w:val="0"/>
        <w:spacing w:line="360" w:lineRule="auto"/>
        <w:ind w:firstLine="560" w:firstLineChars="200"/>
        <w:rPr>
          <w:rFonts w:ascii="黑体" w:hAnsi="黑体" w:eastAsia="黑体"/>
          <w:sz w:val="28"/>
          <w:szCs w:val="28"/>
        </w:rPr>
      </w:pPr>
    </w:p>
    <w:p w14:paraId="628367DA">
      <w:pPr>
        <w:widowControl/>
        <w:adjustRightInd w:val="0"/>
        <w:snapToGrid w:val="0"/>
        <w:spacing w:line="360" w:lineRule="auto"/>
        <w:ind w:firstLine="560" w:firstLineChars="200"/>
        <w:rPr>
          <w:rFonts w:ascii="黑体" w:hAnsi="黑体" w:eastAsia="黑体"/>
          <w:sz w:val="28"/>
          <w:szCs w:val="28"/>
        </w:rPr>
      </w:pPr>
    </w:p>
    <w:p w14:paraId="5A4C9A96">
      <w:pPr>
        <w:widowControl/>
        <w:adjustRightInd w:val="0"/>
        <w:snapToGrid w:val="0"/>
        <w:spacing w:line="360" w:lineRule="auto"/>
        <w:ind w:firstLine="560" w:firstLineChars="200"/>
        <w:rPr>
          <w:rFonts w:ascii="黑体" w:hAnsi="黑体" w:eastAsia="黑体"/>
          <w:sz w:val="28"/>
          <w:szCs w:val="28"/>
        </w:rPr>
      </w:pPr>
    </w:p>
    <w:p w14:paraId="6F5CD2F5">
      <w:pPr>
        <w:widowControl/>
        <w:adjustRightInd w:val="0"/>
        <w:snapToGrid w:val="0"/>
        <w:spacing w:line="360" w:lineRule="auto"/>
        <w:ind w:firstLine="560" w:firstLineChars="200"/>
        <w:rPr>
          <w:rFonts w:ascii="黑体" w:hAnsi="黑体" w:eastAsia="黑体"/>
          <w:sz w:val="28"/>
          <w:szCs w:val="28"/>
        </w:rPr>
      </w:pPr>
    </w:p>
    <w:p w14:paraId="61ED27E0">
      <w:pPr>
        <w:widowControl/>
        <w:adjustRightInd w:val="0"/>
        <w:snapToGrid w:val="0"/>
        <w:spacing w:line="360" w:lineRule="auto"/>
        <w:ind w:firstLine="560" w:firstLineChars="200"/>
        <w:rPr>
          <w:rFonts w:ascii="黑体" w:hAnsi="黑体" w:eastAsia="黑体"/>
          <w:sz w:val="28"/>
          <w:szCs w:val="28"/>
        </w:rPr>
      </w:pPr>
    </w:p>
    <w:p w14:paraId="1F346984">
      <w:pPr>
        <w:widowControl/>
        <w:adjustRightInd w:val="0"/>
        <w:snapToGrid w:val="0"/>
        <w:spacing w:line="360" w:lineRule="auto"/>
        <w:ind w:firstLine="560" w:firstLineChars="200"/>
        <w:rPr>
          <w:rFonts w:ascii="黑体" w:hAnsi="黑体" w:eastAsia="黑体"/>
          <w:sz w:val="28"/>
          <w:szCs w:val="28"/>
        </w:rPr>
      </w:pPr>
    </w:p>
    <w:p w14:paraId="7C583377">
      <w:pPr>
        <w:widowControl/>
        <w:adjustRightInd w:val="0"/>
        <w:snapToGrid w:val="0"/>
        <w:spacing w:line="360" w:lineRule="auto"/>
        <w:ind w:firstLine="560" w:firstLineChars="200"/>
        <w:rPr>
          <w:rFonts w:ascii="黑体" w:hAnsi="黑体" w:eastAsia="黑体"/>
          <w:sz w:val="28"/>
          <w:szCs w:val="28"/>
        </w:rPr>
      </w:pPr>
    </w:p>
    <w:p w14:paraId="784F1DE6">
      <w:pPr>
        <w:widowControl/>
        <w:adjustRightInd w:val="0"/>
        <w:snapToGrid w:val="0"/>
        <w:spacing w:line="360" w:lineRule="auto"/>
        <w:ind w:firstLine="560" w:firstLineChars="200"/>
        <w:rPr>
          <w:rFonts w:ascii="黑体" w:hAnsi="黑体" w:eastAsia="黑体"/>
          <w:sz w:val="28"/>
          <w:szCs w:val="28"/>
        </w:rPr>
      </w:pPr>
    </w:p>
    <w:p w14:paraId="658C21C3">
      <w:pPr>
        <w:widowControl/>
        <w:adjustRightInd w:val="0"/>
        <w:snapToGrid w:val="0"/>
        <w:spacing w:line="360" w:lineRule="auto"/>
        <w:ind w:firstLine="560" w:firstLineChars="200"/>
        <w:rPr>
          <w:rFonts w:ascii="黑体" w:hAnsi="黑体" w:eastAsia="黑体"/>
          <w:sz w:val="28"/>
          <w:szCs w:val="28"/>
        </w:rPr>
      </w:pPr>
    </w:p>
    <w:p w14:paraId="247260AE">
      <w:pPr>
        <w:widowControl/>
        <w:adjustRightInd w:val="0"/>
        <w:snapToGrid w:val="0"/>
        <w:spacing w:line="360" w:lineRule="auto"/>
        <w:ind w:firstLine="560" w:firstLineChars="200"/>
        <w:rPr>
          <w:rFonts w:ascii="黑体" w:hAnsi="黑体" w:eastAsia="黑体"/>
          <w:sz w:val="28"/>
          <w:szCs w:val="28"/>
        </w:rPr>
      </w:pPr>
    </w:p>
    <w:p w14:paraId="3A837FD4">
      <w:pPr>
        <w:widowControl/>
        <w:adjustRightInd w:val="0"/>
        <w:snapToGrid w:val="0"/>
        <w:spacing w:line="360" w:lineRule="auto"/>
        <w:ind w:firstLine="560" w:firstLineChars="200"/>
        <w:rPr>
          <w:rFonts w:ascii="黑体" w:hAnsi="黑体" w:eastAsia="黑体"/>
          <w:sz w:val="28"/>
          <w:szCs w:val="28"/>
        </w:rPr>
      </w:pPr>
    </w:p>
    <w:p w14:paraId="6551CCAA">
      <w:pPr>
        <w:widowControl/>
        <w:adjustRightInd w:val="0"/>
        <w:snapToGrid w:val="0"/>
        <w:spacing w:line="360" w:lineRule="auto"/>
        <w:ind w:firstLine="560" w:firstLineChars="200"/>
        <w:rPr>
          <w:rFonts w:ascii="黑体" w:hAnsi="黑体" w:eastAsia="黑体"/>
          <w:sz w:val="28"/>
          <w:szCs w:val="28"/>
        </w:rPr>
      </w:pPr>
    </w:p>
    <w:p w14:paraId="0E313F96">
      <w:pPr>
        <w:widowControl/>
        <w:adjustRightInd w:val="0"/>
        <w:snapToGrid w:val="0"/>
        <w:spacing w:line="360" w:lineRule="auto"/>
        <w:ind w:firstLine="560" w:firstLineChars="200"/>
        <w:rPr>
          <w:rFonts w:ascii="黑体" w:hAnsi="黑体" w:eastAsia="黑体"/>
          <w:sz w:val="28"/>
          <w:szCs w:val="28"/>
        </w:rPr>
      </w:pPr>
    </w:p>
    <w:p w14:paraId="6EAF3707">
      <w:pPr>
        <w:widowControl/>
        <w:adjustRightInd w:val="0"/>
        <w:snapToGrid w:val="0"/>
        <w:spacing w:line="360" w:lineRule="auto"/>
        <w:ind w:firstLine="560" w:firstLineChars="200"/>
        <w:rPr>
          <w:rFonts w:ascii="黑体" w:hAnsi="黑体" w:eastAsia="黑体"/>
          <w:sz w:val="28"/>
          <w:szCs w:val="28"/>
        </w:rPr>
      </w:pPr>
    </w:p>
    <w:p w14:paraId="15C40344">
      <w:pPr>
        <w:widowControl/>
        <w:adjustRightInd w:val="0"/>
        <w:snapToGrid w:val="0"/>
        <w:spacing w:line="360" w:lineRule="auto"/>
        <w:ind w:firstLine="560" w:firstLineChars="200"/>
        <w:rPr>
          <w:rFonts w:ascii="黑体" w:hAnsi="黑体" w:eastAsia="黑体"/>
          <w:sz w:val="28"/>
          <w:szCs w:val="28"/>
        </w:rPr>
      </w:pPr>
    </w:p>
    <w:p w14:paraId="664FCB68">
      <w:pPr>
        <w:adjustRightInd w:val="0"/>
        <w:snapToGrid w:val="0"/>
        <w:spacing w:line="360" w:lineRule="auto"/>
        <w:jc w:val="center"/>
        <w:rPr>
          <w:rFonts w:ascii="仿宋" w:hAnsi="仿宋" w:eastAsia="仿宋" w:cs="仿宋"/>
          <w:b/>
          <w:bCs/>
          <w:sz w:val="28"/>
          <w:szCs w:val="28"/>
        </w:rPr>
      </w:pPr>
      <w:r>
        <w:rPr>
          <w:rFonts w:ascii="宋体" w:hAnsi="宋体"/>
          <w:szCs w:val="21"/>
        </w:rPr>
        <w:br w:type="page"/>
      </w:r>
      <w:r>
        <w:rPr>
          <w:rFonts w:hint="eastAsia" w:ascii="宋体" w:hAnsi="宋体"/>
          <w:b/>
          <w:bCs/>
          <w:sz w:val="30"/>
          <w:szCs w:val="30"/>
        </w:rPr>
        <w:t>8</w:t>
      </w:r>
      <w:r>
        <w:rPr>
          <w:rFonts w:hint="eastAsia" w:ascii="仿宋" w:hAnsi="仿宋" w:eastAsia="仿宋" w:cs="仿宋"/>
          <w:b/>
          <w:bCs/>
          <w:sz w:val="30"/>
          <w:szCs w:val="30"/>
        </w:rPr>
        <w:t>.技术标准</w:t>
      </w:r>
    </w:p>
    <w:p w14:paraId="34F9CF0C">
      <w:pPr>
        <w:adjustRightInd w:val="0"/>
        <w:snapToGrid w:val="0"/>
        <w:spacing w:beforeLines="50" w:after="100" w:afterAutospacing="1" w:line="360" w:lineRule="auto"/>
        <w:rPr>
          <w:rFonts w:ascii="微软雅黑" w:hAnsi="微软雅黑" w:eastAsia="微软雅黑" w:cs="微软雅黑"/>
          <w:szCs w:val="21"/>
        </w:rPr>
      </w:pPr>
    </w:p>
    <w:p w14:paraId="6BB93BBB">
      <w:pPr>
        <w:adjustRightInd w:val="0"/>
        <w:snapToGrid w:val="0"/>
        <w:spacing w:line="360" w:lineRule="auto"/>
        <w:ind w:firstLine="420" w:firstLineChars="200"/>
        <w:jc w:val="center"/>
        <w:rPr>
          <w:rFonts w:ascii="微软雅黑" w:hAnsi="微软雅黑" w:eastAsia="微软雅黑" w:cs="微软雅黑"/>
          <w:szCs w:val="21"/>
        </w:rPr>
      </w:pPr>
    </w:p>
    <w:p w14:paraId="157402C7">
      <w:pPr>
        <w:adjustRightInd w:val="0"/>
        <w:snapToGrid w:val="0"/>
        <w:spacing w:line="360" w:lineRule="auto"/>
        <w:ind w:firstLine="420" w:firstLineChars="200"/>
        <w:jc w:val="center"/>
        <w:rPr>
          <w:rFonts w:ascii="微软雅黑" w:hAnsi="微软雅黑" w:eastAsia="微软雅黑" w:cs="微软雅黑"/>
          <w:szCs w:val="21"/>
        </w:rPr>
      </w:pPr>
    </w:p>
    <w:p w14:paraId="08DE74A2">
      <w:pPr>
        <w:adjustRightInd w:val="0"/>
        <w:snapToGrid w:val="0"/>
        <w:spacing w:line="360" w:lineRule="auto"/>
        <w:ind w:firstLine="420" w:firstLineChars="200"/>
        <w:jc w:val="center"/>
        <w:rPr>
          <w:rFonts w:ascii="微软雅黑" w:hAnsi="微软雅黑" w:eastAsia="微软雅黑" w:cs="微软雅黑"/>
          <w:szCs w:val="21"/>
        </w:rPr>
      </w:pPr>
    </w:p>
    <w:p w14:paraId="120276E1">
      <w:pPr>
        <w:pStyle w:val="3"/>
        <w:rPr>
          <w:rFonts w:ascii="微软雅黑" w:hAnsi="微软雅黑" w:eastAsia="微软雅黑" w:cs="微软雅黑"/>
          <w:sz w:val="21"/>
          <w:szCs w:val="21"/>
        </w:rPr>
      </w:pPr>
    </w:p>
    <w:p w14:paraId="60F47BF7">
      <w:pPr>
        <w:rPr>
          <w:rFonts w:ascii="微软雅黑" w:hAnsi="微软雅黑" w:eastAsia="微软雅黑" w:cs="微软雅黑"/>
          <w:szCs w:val="21"/>
        </w:rPr>
      </w:pPr>
    </w:p>
    <w:p w14:paraId="672B4506">
      <w:pPr>
        <w:pStyle w:val="3"/>
        <w:rPr>
          <w:rFonts w:ascii="微软雅黑" w:hAnsi="微软雅黑" w:eastAsia="微软雅黑" w:cs="微软雅黑"/>
          <w:sz w:val="21"/>
          <w:szCs w:val="21"/>
        </w:rPr>
      </w:pPr>
    </w:p>
    <w:p w14:paraId="1DC446BB">
      <w:pPr>
        <w:rPr>
          <w:rFonts w:ascii="微软雅黑" w:hAnsi="微软雅黑" w:eastAsia="微软雅黑" w:cs="微软雅黑"/>
          <w:szCs w:val="21"/>
        </w:rPr>
      </w:pPr>
    </w:p>
    <w:p w14:paraId="7581FE64">
      <w:pPr>
        <w:pStyle w:val="3"/>
        <w:rPr>
          <w:rFonts w:ascii="微软雅黑" w:hAnsi="微软雅黑" w:eastAsia="微软雅黑" w:cs="微软雅黑"/>
          <w:sz w:val="21"/>
          <w:szCs w:val="21"/>
        </w:rPr>
      </w:pPr>
    </w:p>
    <w:p w14:paraId="21FFCD12">
      <w:pPr>
        <w:rPr>
          <w:rFonts w:ascii="微软雅黑" w:hAnsi="微软雅黑" w:eastAsia="微软雅黑" w:cs="微软雅黑"/>
          <w:szCs w:val="21"/>
        </w:rPr>
      </w:pPr>
    </w:p>
    <w:p w14:paraId="5604A11A">
      <w:pPr>
        <w:pStyle w:val="3"/>
        <w:rPr>
          <w:rFonts w:ascii="微软雅黑" w:hAnsi="微软雅黑" w:eastAsia="微软雅黑" w:cs="微软雅黑"/>
          <w:sz w:val="21"/>
          <w:szCs w:val="21"/>
        </w:rPr>
      </w:pPr>
    </w:p>
    <w:p w14:paraId="6279D68D">
      <w:pPr>
        <w:rPr>
          <w:rFonts w:ascii="微软雅黑" w:hAnsi="微软雅黑" w:eastAsia="微软雅黑" w:cs="微软雅黑"/>
          <w:szCs w:val="21"/>
        </w:rPr>
      </w:pPr>
    </w:p>
    <w:p w14:paraId="0398F0CE">
      <w:pPr>
        <w:pStyle w:val="3"/>
        <w:rPr>
          <w:rFonts w:ascii="微软雅黑" w:hAnsi="微软雅黑" w:eastAsia="微软雅黑" w:cs="微软雅黑"/>
          <w:sz w:val="21"/>
          <w:szCs w:val="21"/>
        </w:rPr>
      </w:pPr>
    </w:p>
    <w:p w14:paraId="64B012CA">
      <w:pPr>
        <w:rPr>
          <w:rFonts w:ascii="微软雅黑" w:hAnsi="微软雅黑" w:eastAsia="微软雅黑" w:cs="微软雅黑"/>
          <w:szCs w:val="21"/>
        </w:rPr>
      </w:pPr>
    </w:p>
    <w:p w14:paraId="5C2A7C94">
      <w:pPr>
        <w:pStyle w:val="3"/>
        <w:rPr>
          <w:rFonts w:ascii="微软雅黑" w:hAnsi="微软雅黑" w:eastAsia="微软雅黑" w:cs="微软雅黑"/>
          <w:sz w:val="21"/>
          <w:szCs w:val="21"/>
        </w:rPr>
      </w:pPr>
    </w:p>
    <w:p w14:paraId="5C895FAD">
      <w:pPr>
        <w:rPr>
          <w:rFonts w:ascii="微软雅黑" w:hAnsi="微软雅黑" w:eastAsia="微软雅黑" w:cs="微软雅黑"/>
          <w:szCs w:val="21"/>
        </w:rPr>
      </w:pPr>
    </w:p>
    <w:p w14:paraId="660681B7">
      <w:pPr>
        <w:pStyle w:val="3"/>
        <w:rPr>
          <w:rFonts w:ascii="微软雅黑" w:hAnsi="微软雅黑" w:eastAsia="微软雅黑" w:cs="微软雅黑"/>
          <w:sz w:val="21"/>
          <w:szCs w:val="21"/>
        </w:rPr>
      </w:pPr>
    </w:p>
    <w:p w14:paraId="2B5E7B31">
      <w:pPr>
        <w:rPr>
          <w:rFonts w:ascii="微软雅黑" w:hAnsi="微软雅黑" w:eastAsia="微软雅黑" w:cs="微软雅黑"/>
          <w:szCs w:val="21"/>
        </w:rPr>
      </w:pPr>
    </w:p>
    <w:p w14:paraId="50C8B523">
      <w:pPr>
        <w:pStyle w:val="3"/>
        <w:rPr>
          <w:rFonts w:ascii="微软雅黑" w:hAnsi="微软雅黑" w:eastAsia="微软雅黑" w:cs="微软雅黑"/>
          <w:sz w:val="21"/>
          <w:szCs w:val="21"/>
        </w:rPr>
      </w:pPr>
    </w:p>
    <w:p w14:paraId="0B9C7044">
      <w:pPr>
        <w:rPr>
          <w:rFonts w:ascii="微软雅黑" w:hAnsi="微软雅黑" w:eastAsia="微软雅黑" w:cs="微软雅黑"/>
          <w:szCs w:val="21"/>
        </w:rPr>
      </w:pPr>
    </w:p>
    <w:p w14:paraId="1F18C05B">
      <w:pPr>
        <w:pStyle w:val="3"/>
      </w:pPr>
    </w:p>
    <w:p w14:paraId="310C9CBD">
      <w:pPr>
        <w:adjustRightInd w:val="0"/>
        <w:snapToGrid w:val="0"/>
        <w:spacing w:line="360" w:lineRule="auto"/>
        <w:ind w:firstLine="420" w:firstLineChars="200"/>
        <w:jc w:val="center"/>
        <w:rPr>
          <w:rFonts w:ascii="微软雅黑" w:hAnsi="微软雅黑" w:eastAsia="微软雅黑" w:cs="微软雅黑"/>
          <w:szCs w:val="21"/>
        </w:rPr>
      </w:pPr>
    </w:p>
    <w:p w14:paraId="7572F929">
      <w:pPr>
        <w:adjustRightInd w:val="0"/>
        <w:snapToGrid w:val="0"/>
        <w:spacing w:line="360" w:lineRule="auto"/>
        <w:ind w:firstLine="602" w:firstLineChars="200"/>
        <w:jc w:val="center"/>
        <w:rPr>
          <w:rFonts w:ascii="仿宋" w:hAnsi="仿宋" w:eastAsia="仿宋" w:cs="仿宋"/>
          <w:b/>
          <w:bCs/>
          <w:sz w:val="30"/>
          <w:szCs w:val="30"/>
        </w:rPr>
      </w:pPr>
      <w:r>
        <w:rPr>
          <w:rFonts w:hint="eastAsia" w:ascii="仿宋" w:hAnsi="仿宋" w:eastAsia="仿宋" w:cs="仿宋"/>
          <w:b/>
          <w:bCs/>
          <w:sz w:val="30"/>
          <w:szCs w:val="30"/>
        </w:rPr>
        <w:t>9.技术条款偏离表</w:t>
      </w:r>
    </w:p>
    <w:p w14:paraId="456DFF6C">
      <w:pPr>
        <w:adjustRightInd w:val="0"/>
        <w:snapToGrid w:val="0"/>
        <w:spacing w:line="360" w:lineRule="auto"/>
        <w:ind w:firstLine="420" w:firstLineChars="200"/>
        <w:rPr>
          <w:rFonts w:ascii="宋体" w:hAnsi="宋体" w:cs="宋体"/>
          <w:szCs w:val="21"/>
        </w:rPr>
      </w:pPr>
    </w:p>
    <w:p w14:paraId="4B4E41BA">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项目名称：                 项目编号：</w:t>
      </w:r>
    </w:p>
    <w:p w14:paraId="446D29EA">
      <w:pPr>
        <w:adjustRightInd w:val="0"/>
        <w:snapToGrid w:val="0"/>
        <w:spacing w:line="360" w:lineRule="auto"/>
        <w:ind w:firstLine="420" w:firstLineChars="200"/>
        <w:rPr>
          <w:rFonts w:ascii="黑体" w:hAnsi="宋体" w:eastAsia="黑体"/>
          <w:szCs w:val="21"/>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1"/>
        <w:gridCol w:w="3150"/>
        <w:gridCol w:w="1172"/>
        <w:gridCol w:w="3055"/>
      </w:tblGrid>
      <w:tr w14:paraId="4F56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restart"/>
            <w:vAlign w:val="center"/>
          </w:tcPr>
          <w:p w14:paraId="713F1A04">
            <w:pPr>
              <w:adjustRightInd w:val="0"/>
              <w:snapToGrid w:val="0"/>
              <w:spacing w:line="360" w:lineRule="auto"/>
              <w:rPr>
                <w:rFonts w:ascii="黑体" w:hAnsi="宋体" w:eastAsia="黑体"/>
                <w:szCs w:val="21"/>
              </w:rPr>
            </w:pPr>
            <w:r>
              <w:rPr>
                <w:rFonts w:hint="eastAsia" w:ascii="黑体" w:hAnsi="宋体" w:eastAsia="黑体"/>
                <w:szCs w:val="21"/>
              </w:rPr>
              <w:t>序号</w:t>
            </w:r>
          </w:p>
        </w:tc>
        <w:tc>
          <w:tcPr>
            <w:tcW w:w="4231" w:type="dxa"/>
            <w:gridSpan w:val="2"/>
            <w:vAlign w:val="center"/>
          </w:tcPr>
          <w:p w14:paraId="2F31AEF7">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采购文件</w:t>
            </w:r>
          </w:p>
        </w:tc>
        <w:tc>
          <w:tcPr>
            <w:tcW w:w="4227" w:type="dxa"/>
            <w:gridSpan w:val="2"/>
            <w:vAlign w:val="center"/>
          </w:tcPr>
          <w:p w14:paraId="439D0062">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响应文件</w:t>
            </w:r>
          </w:p>
        </w:tc>
      </w:tr>
      <w:tr w14:paraId="2BD8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28" w:type="dxa"/>
            <w:vMerge w:val="continue"/>
            <w:vAlign w:val="center"/>
          </w:tcPr>
          <w:p w14:paraId="28F05102">
            <w:pPr>
              <w:adjustRightInd w:val="0"/>
              <w:snapToGrid w:val="0"/>
              <w:spacing w:line="360" w:lineRule="auto"/>
              <w:ind w:firstLine="420" w:firstLineChars="200"/>
              <w:jc w:val="center"/>
              <w:rPr>
                <w:rFonts w:ascii="黑体" w:hAnsi="宋体" w:eastAsia="黑体"/>
                <w:szCs w:val="21"/>
              </w:rPr>
            </w:pPr>
          </w:p>
        </w:tc>
        <w:tc>
          <w:tcPr>
            <w:tcW w:w="1081" w:type="dxa"/>
            <w:vAlign w:val="center"/>
          </w:tcPr>
          <w:p w14:paraId="4E2A0AC3">
            <w:pPr>
              <w:adjustRightInd w:val="0"/>
              <w:snapToGrid w:val="0"/>
              <w:spacing w:line="360" w:lineRule="auto"/>
              <w:rPr>
                <w:rFonts w:ascii="黑体" w:hAnsi="宋体" w:eastAsia="黑体"/>
                <w:szCs w:val="21"/>
              </w:rPr>
            </w:pPr>
            <w:r>
              <w:rPr>
                <w:rFonts w:hint="eastAsia" w:ascii="黑体" w:hAnsi="宋体" w:eastAsia="黑体"/>
                <w:szCs w:val="21"/>
              </w:rPr>
              <w:t>条款号</w:t>
            </w:r>
          </w:p>
        </w:tc>
        <w:tc>
          <w:tcPr>
            <w:tcW w:w="3150" w:type="dxa"/>
            <w:vAlign w:val="center"/>
          </w:tcPr>
          <w:p w14:paraId="7941600E">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条款内容</w:t>
            </w:r>
          </w:p>
        </w:tc>
        <w:tc>
          <w:tcPr>
            <w:tcW w:w="1172" w:type="dxa"/>
            <w:vAlign w:val="center"/>
          </w:tcPr>
          <w:p w14:paraId="5C190A95">
            <w:pPr>
              <w:adjustRightInd w:val="0"/>
              <w:snapToGrid w:val="0"/>
              <w:spacing w:line="360" w:lineRule="auto"/>
              <w:rPr>
                <w:rFonts w:ascii="黑体" w:hAnsi="宋体" w:eastAsia="黑体"/>
                <w:szCs w:val="21"/>
              </w:rPr>
            </w:pPr>
            <w:r>
              <w:rPr>
                <w:rFonts w:hint="eastAsia" w:ascii="黑体" w:hAnsi="宋体" w:eastAsia="黑体"/>
                <w:szCs w:val="21"/>
              </w:rPr>
              <w:t>条款号</w:t>
            </w:r>
          </w:p>
        </w:tc>
        <w:tc>
          <w:tcPr>
            <w:tcW w:w="3055" w:type="dxa"/>
            <w:vAlign w:val="center"/>
          </w:tcPr>
          <w:p w14:paraId="2722517E">
            <w:pPr>
              <w:adjustRightInd w:val="0"/>
              <w:snapToGrid w:val="0"/>
              <w:spacing w:line="360" w:lineRule="auto"/>
              <w:ind w:firstLine="420" w:firstLineChars="200"/>
              <w:jc w:val="center"/>
              <w:rPr>
                <w:rFonts w:ascii="黑体" w:hAnsi="宋体" w:eastAsia="黑体"/>
                <w:szCs w:val="21"/>
              </w:rPr>
            </w:pPr>
            <w:r>
              <w:rPr>
                <w:rFonts w:hint="eastAsia" w:ascii="黑体" w:hAnsi="宋体" w:eastAsia="黑体"/>
                <w:szCs w:val="21"/>
              </w:rPr>
              <w:t>条款内容</w:t>
            </w:r>
          </w:p>
        </w:tc>
      </w:tr>
      <w:tr w14:paraId="604A1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6F075815">
            <w:pPr>
              <w:adjustRightInd w:val="0"/>
              <w:snapToGrid w:val="0"/>
              <w:spacing w:line="360" w:lineRule="auto"/>
              <w:ind w:firstLine="420" w:firstLineChars="200"/>
              <w:jc w:val="center"/>
              <w:rPr>
                <w:rFonts w:ascii="宋体" w:hAnsi="宋体"/>
                <w:szCs w:val="21"/>
              </w:rPr>
            </w:pPr>
          </w:p>
        </w:tc>
        <w:tc>
          <w:tcPr>
            <w:tcW w:w="1081" w:type="dxa"/>
            <w:vAlign w:val="center"/>
          </w:tcPr>
          <w:p w14:paraId="77BF6EFC">
            <w:pPr>
              <w:adjustRightInd w:val="0"/>
              <w:snapToGrid w:val="0"/>
              <w:spacing w:line="360" w:lineRule="auto"/>
              <w:ind w:firstLine="420" w:firstLineChars="200"/>
              <w:jc w:val="center"/>
              <w:rPr>
                <w:rFonts w:ascii="宋体" w:hAnsi="宋体"/>
                <w:szCs w:val="21"/>
              </w:rPr>
            </w:pPr>
          </w:p>
        </w:tc>
        <w:tc>
          <w:tcPr>
            <w:tcW w:w="3150" w:type="dxa"/>
            <w:vAlign w:val="center"/>
          </w:tcPr>
          <w:p w14:paraId="401DB8CB">
            <w:pPr>
              <w:adjustRightInd w:val="0"/>
              <w:snapToGrid w:val="0"/>
              <w:spacing w:line="360" w:lineRule="auto"/>
              <w:ind w:firstLine="420" w:firstLineChars="200"/>
              <w:jc w:val="center"/>
              <w:rPr>
                <w:rFonts w:ascii="宋体" w:hAnsi="宋体"/>
                <w:szCs w:val="21"/>
              </w:rPr>
            </w:pPr>
          </w:p>
        </w:tc>
        <w:tc>
          <w:tcPr>
            <w:tcW w:w="1172" w:type="dxa"/>
            <w:vAlign w:val="center"/>
          </w:tcPr>
          <w:p w14:paraId="56484494">
            <w:pPr>
              <w:adjustRightInd w:val="0"/>
              <w:snapToGrid w:val="0"/>
              <w:spacing w:line="360" w:lineRule="auto"/>
              <w:ind w:firstLine="420" w:firstLineChars="200"/>
              <w:jc w:val="center"/>
              <w:rPr>
                <w:rFonts w:ascii="宋体" w:hAnsi="宋体"/>
                <w:szCs w:val="21"/>
              </w:rPr>
            </w:pPr>
          </w:p>
        </w:tc>
        <w:tc>
          <w:tcPr>
            <w:tcW w:w="3055" w:type="dxa"/>
            <w:vAlign w:val="center"/>
          </w:tcPr>
          <w:p w14:paraId="4A8770EA">
            <w:pPr>
              <w:adjustRightInd w:val="0"/>
              <w:snapToGrid w:val="0"/>
              <w:spacing w:line="360" w:lineRule="auto"/>
              <w:ind w:firstLine="420" w:firstLineChars="200"/>
              <w:jc w:val="center"/>
              <w:rPr>
                <w:rFonts w:ascii="宋体" w:hAnsi="宋体"/>
                <w:szCs w:val="21"/>
              </w:rPr>
            </w:pPr>
          </w:p>
        </w:tc>
      </w:tr>
      <w:tr w14:paraId="2AAE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3B044949">
            <w:pPr>
              <w:adjustRightInd w:val="0"/>
              <w:snapToGrid w:val="0"/>
              <w:spacing w:line="360" w:lineRule="auto"/>
              <w:ind w:firstLine="420" w:firstLineChars="200"/>
              <w:jc w:val="center"/>
              <w:rPr>
                <w:rFonts w:ascii="宋体" w:hAnsi="宋体"/>
                <w:szCs w:val="21"/>
              </w:rPr>
            </w:pPr>
          </w:p>
        </w:tc>
        <w:tc>
          <w:tcPr>
            <w:tcW w:w="1081" w:type="dxa"/>
            <w:vAlign w:val="center"/>
          </w:tcPr>
          <w:p w14:paraId="0C069990">
            <w:pPr>
              <w:adjustRightInd w:val="0"/>
              <w:snapToGrid w:val="0"/>
              <w:spacing w:line="360" w:lineRule="auto"/>
              <w:ind w:firstLine="420" w:firstLineChars="200"/>
              <w:jc w:val="center"/>
              <w:rPr>
                <w:rFonts w:ascii="宋体" w:hAnsi="宋体"/>
                <w:szCs w:val="21"/>
              </w:rPr>
            </w:pPr>
          </w:p>
        </w:tc>
        <w:tc>
          <w:tcPr>
            <w:tcW w:w="3150" w:type="dxa"/>
            <w:vAlign w:val="center"/>
          </w:tcPr>
          <w:p w14:paraId="6913F1F1">
            <w:pPr>
              <w:adjustRightInd w:val="0"/>
              <w:snapToGrid w:val="0"/>
              <w:spacing w:line="360" w:lineRule="auto"/>
              <w:ind w:firstLine="420" w:firstLineChars="200"/>
              <w:jc w:val="center"/>
              <w:rPr>
                <w:rFonts w:ascii="宋体" w:hAnsi="宋体"/>
                <w:szCs w:val="21"/>
              </w:rPr>
            </w:pPr>
          </w:p>
        </w:tc>
        <w:tc>
          <w:tcPr>
            <w:tcW w:w="1172" w:type="dxa"/>
            <w:vAlign w:val="center"/>
          </w:tcPr>
          <w:p w14:paraId="130A864C">
            <w:pPr>
              <w:adjustRightInd w:val="0"/>
              <w:snapToGrid w:val="0"/>
              <w:spacing w:line="360" w:lineRule="auto"/>
              <w:ind w:firstLine="420" w:firstLineChars="200"/>
              <w:jc w:val="center"/>
              <w:rPr>
                <w:rFonts w:ascii="宋体" w:hAnsi="宋体"/>
                <w:szCs w:val="21"/>
              </w:rPr>
            </w:pPr>
          </w:p>
        </w:tc>
        <w:tc>
          <w:tcPr>
            <w:tcW w:w="3055" w:type="dxa"/>
            <w:vAlign w:val="center"/>
          </w:tcPr>
          <w:p w14:paraId="2C9C05F2">
            <w:pPr>
              <w:adjustRightInd w:val="0"/>
              <w:snapToGrid w:val="0"/>
              <w:spacing w:line="360" w:lineRule="auto"/>
              <w:ind w:firstLine="420" w:firstLineChars="200"/>
              <w:jc w:val="center"/>
              <w:rPr>
                <w:rFonts w:ascii="宋体" w:hAnsi="宋体"/>
                <w:szCs w:val="21"/>
              </w:rPr>
            </w:pPr>
          </w:p>
        </w:tc>
      </w:tr>
      <w:tr w14:paraId="7B62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2D4008C3">
            <w:pPr>
              <w:adjustRightInd w:val="0"/>
              <w:snapToGrid w:val="0"/>
              <w:spacing w:line="360" w:lineRule="auto"/>
              <w:ind w:firstLine="420" w:firstLineChars="200"/>
              <w:jc w:val="center"/>
              <w:rPr>
                <w:rFonts w:ascii="宋体" w:hAnsi="宋体"/>
                <w:szCs w:val="21"/>
              </w:rPr>
            </w:pPr>
          </w:p>
        </w:tc>
        <w:tc>
          <w:tcPr>
            <w:tcW w:w="1081" w:type="dxa"/>
            <w:vAlign w:val="center"/>
          </w:tcPr>
          <w:p w14:paraId="7B67FF5C">
            <w:pPr>
              <w:adjustRightInd w:val="0"/>
              <w:snapToGrid w:val="0"/>
              <w:spacing w:line="360" w:lineRule="auto"/>
              <w:ind w:firstLine="420" w:firstLineChars="200"/>
              <w:jc w:val="center"/>
              <w:rPr>
                <w:rFonts w:ascii="宋体" w:hAnsi="宋体"/>
                <w:szCs w:val="21"/>
              </w:rPr>
            </w:pPr>
          </w:p>
        </w:tc>
        <w:tc>
          <w:tcPr>
            <w:tcW w:w="3150" w:type="dxa"/>
            <w:vAlign w:val="center"/>
          </w:tcPr>
          <w:p w14:paraId="47153098">
            <w:pPr>
              <w:adjustRightInd w:val="0"/>
              <w:snapToGrid w:val="0"/>
              <w:spacing w:line="360" w:lineRule="auto"/>
              <w:ind w:firstLine="420" w:firstLineChars="200"/>
              <w:jc w:val="center"/>
              <w:rPr>
                <w:rFonts w:ascii="宋体" w:hAnsi="宋体"/>
                <w:szCs w:val="21"/>
              </w:rPr>
            </w:pPr>
          </w:p>
        </w:tc>
        <w:tc>
          <w:tcPr>
            <w:tcW w:w="1172" w:type="dxa"/>
            <w:vAlign w:val="center"/>
          </w:tcPr>
          <w:p w14:paraId="7CF31C88">
            <w:pPr>
              <w:adjustRightInd w:val="0"/>
              <w:snapToGrid w:val="0"/>
              <w:spacing w:line="360" w:lineRule="auto"/>
              <w:ind w:firstLine="420" w:firstLineChars="200"/>
              <w:jc w:val="center"/>
              <w:rPr>
                <w:rFonts w:ascii="宋体" w:hAnsi="宋体"/>
                <w:szCs w:val="21"/>
              </w:rPr>
            </w:pPr>
          </w:p>
        </w:tc>
        <w:tc>
          <w:tcPr>
            <w:tcW w:w="3055" w:type="dxa"/>
            <w:vAlign w:val="center"/>
          </w:tcPr>
          <w:p w14:paraId="4142C1FD">
            <w:pPr>
              <w:adjustRightInd w:val="0"/>
              <w:snapToGrid w:val="0"/>
              <w:spacing w:line="360" w:lineRule="auto"/>
              <w:ind w:firstLine="420" w:firstLineChars="200"/>
              <w:jc w:val="center"/>
              <w:rPr>
                <w:rFonts w:ascii="宋体" w:hAnsi="宋体"/>
                <w:szCs w:val="21"/>
              </w:rPr>
            </w:pPr>
          </w:p>
        </w:tc>
      </w:tr>
      <w:tr w14:paraId="736A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0F2B570F">
            <w:pPr>
              <w:adjustRightInd w:val="0"/>
              <w:snapToGrid w:val="0"/>
              <w:spacing w:line="360" w:lineRule="auto"/>
              <w:ind w:firstLine="420" w:firstLineChars="200"/>
              <w:jc w:val="center"/>
              <w:rPr>
                <w:rFonts w:ascii="宋体" w:hAnsi="宋体"/>
                <w:szCs w:val="21"/>
              </w:rPr>
            </w:pPr>
          </w:p>
        </w:tc>
        <w:tc>
          <w:tcPr>
            <w:tcW w:w="1081" w:type="dxa"/>
            <w:vAlign w:val="center"/>
          </w:tcPr>
          <w:p w14:paraId="747D4544">
            <w:pPr>
              <w:adjustRightInd w:val="0"/>
              <w:snapToGrid w:val="0"/>
              <w:spacing w:line="360" w:lineRule="auto"/>
              <w:ind w:firstLine="420" w:firstLineChars="200"/>
              <w:jc w:val="center"/>
              <w:rPr>
                <w:rFonts w:ascii="宋体" w:hAnsi="宋体"/>
                <w:szCs w:val="21"/>
              </w:rPr>
            </w:pPr>
          </w:p>
        </w:tc>
        <w:tc>
          <w:tcPr>
            <w:tcW w:w="3150" w:type="dxa"/>
            <w:vAlign w:val="center"/>
          </w:tcPr>
          <w:p w14:paraId="3E29A5F9">
            <w:pPr>
              <w:adjustRightInd w:val="0"/>
              <w:snapToGrid w:val="0"/>
              <w:spacing w:line="360" w:lineRule="auto"/>
              <w:ind w:firstLine="420" w:firstLineChars="200"/>
              <w:jc w:val="center"/>
              <w:rPr>
                <w:rFonts w:ascii="宋体" w:hAnsi="宋体"/>
                <w:szCs w:val="21"/>
              </w:rPr>
            </w:pPr>
          </w:p>
        </w:tc>
        <w:tc>
          <w:tcPr>
            <w:tcW w:w="1172" w:type="dxa"/>
            <w:vAlign w:val="center"/>
          </w:tcPr>
          <w:p w14:paraId="7A76D860">
            <w:pPr>
              <w:adjustRightInd w:val="0"/>
              <w:snapToGrid w:val="0"/>
              <w:spacing w:line="360" w:lineRule="auto"/>
              <w:ind w:firstLine="420" w:firstLineChars="200"/>
              <w:jc w:val="center"/>
              <w:rPr>
                <w:rFonts w:ascii="宋体" w:hAnsi="宋体"/>
                <w:szCs w:val="21"/>
              </w:rPr>
            </w:pPr>
          </w:p>
        </w:tc>
        <w:tc>
          <w:tcPr>
            <w:tcW w:w="3055" w:type="dxa"/>
            <w:vAlign w:val="center"/>
          </w:tcPr>
          <w:p w14:paraId="560FF7AE">
            <w:pPr>
              <w:adjustRightInd w:val="0"/>
              <w:snapToGrid w:val="0"/>
              <w:spacing w:line="360" w:lineRule="auto"/>
              <w:ind w:firstLine="420" w:firstLineChars="200"/>
              <w:jc w:val="center"/>
              <w:rPr>
                <w:rFonts w:ascii="宋体" w:hAnsi="宋体"/>
                <w:szCs w:val="21"/>
              </w:rPr>
            </w:pPr>
          </w:p>
        </w:tc>
      </w:tr>
      <w:tr w14:paraId="5DA7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42AB1D2">
            <w:pPr>
              <w:adjustRightInd w:val="0"/>
              <w:snapToGrid w:val="0"/>
              <w:spacing w:line="360" w:lineRule="auto"/>
              <w:ind w:firstLine="420" w:firstLineChars="200"/>
              <w:jc w:val="center"/>
              <w:rPr>
                <w:rFonts w:ascii="宋体" w:hAnsi="宋体"/>
                <w:szCs w:val="21"/>
              </w:rPr>
            </w:pPr>
          </w:p>
        </w:tc>
        <w:tc>
          <w:tcPr>
            <w:tcW w:w="1081" w:type="dxa"/>
            <w:vAlign w:val="center"/>
          </w:tcPr>
          <w:p w14:paraId="6B57636D">
            <w:pPr>
              <w:adjustRightInd w:val="0"/>
              <w:snapToGrid w:val="0"/>
              <w:spacing w:line="360" w:lineRule="auto"/>
              <w:ind w:firstLine="420" w:firstLineChars="200"/>
              <w:jc w:val="center"/>
              <w:rPr>
                <w:rFonts w:ascii="宋体" w:hAnsi="宋体"/>
                <w:szCs w:val="21"/>
              </w:rPr>
            </w:pPr>
          </w:p>
        </w:tc>
        <w:tc>
          <w:tcPr>
            <w:tcW w:w="3150" w:type="dxa"/>
            <w:vAlign w:val="center"/>
          </w:tcPr>
          <w:p w14:paraId="16E299CA">
            <w:pPr>
              <w:adjustRightInd w:val="0"/>
              <w:snapToGrid w:val="0"/>
              <w:spacing w:line="360" w:lineRule="auto"/>
              <w:ind w:firstLine="420" w:firstLineChars="200"/>
              <w:jc w:val="center"/>
              <w:rPr>
                <w:rFonts w:ascii="宋体" w:hAnsi="宋体"/>
                <w:szCs w:val="21"/>
              </w:rPr>
            </w:pPr>
          </w:p>
        </w:tc>
        <w:tc>
          <w:tcPr>
            <w:tcW w:w="1172" w:type="dxa"/>
            <w:vAlign w:val="center"/>
          </w:tcPr>
          <w:p w14:paraId="47F1BC43">
            <w:pPr>
              <w:adjustRightInd w:val="0"/>
              <w:snapToGrid w:val="0"/>
              <w:spacing w:line="360" w:lineRule="auto"/>
              <w:ind w:firstLine="420" w:firstLineChars="200"/>
              <w:jc w:val="center"/>
              <w:rPr>
                <w:rFonts w:ascii="宋体" w:hAnsi="宋体"/>
                <w:szCs w:val="21"/>
              </w:rPr>
            </w:pPr>
          </w:p>
        </w:tc>
        <w:tc>
          <w:tcPr>
            <w:tcW w:w="3055" w:type="dxa"/>
            <w:vAlign w:val="center"/>
          </w:tcPr>
          <w:p w14:paraId="44D3C48C">
            <w:pPr>
              <w:adjustRightInd w:val="0"/>
              <w:snapToGrid w:val="0"/>
              <w:spacing w:line="360" w:lineRule="auto"/>
              <w:ind w:firstLine="420" w:firstLineChars="200"/>
              <w:jc w:val="center"/>
              <w:rPr>
                <w:rFonts w:ascii="宋体" w:hAnsi="宋体"/>
                <w:szCs w:val="21"/>
              </w:rPr>
            </w:pPr>
          </w:p>
        </w:tc>
      </w:tr>
      <w:tr w14:paraId="0A51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5D876D3F">
            <w:pPr>
              <w:adjustRightInd w:val="0"/>
              <w:snapToGrid w:val="0"/>
              <w:spacing w:line="360" w:lineRule="auto"/>
              <w:ind w:firstLine="420" w:firstLineChars="200"/>
              <w:jc w:val="center"/>
              <w:rPr>
                <w:rFonts w:ascii="宋体" w:hAnsi="宋体"/>
                <w:szCs w:val="21"/>
              </w:rPr>
            </w:pPr>
          </w:p>
        </w:tc>
        <w:tc>
          <w:tcPr>
            <w:tcW w:w="1081" w:type="dxa"/>
            <w:vAlign w:val="center"/>
          </w:tcPr>
          <w:p w14:paraId="399DD1A9">
            <w:pPr>
              <w:adjustRightInd w:val="0"/>
              <w:snapToGrid w:val="0"/>
              <w:spacing w:line="360" w:lineRule="auto"/>
              <w:ind w:firstLine="420" w:firstLineChars="200"/>
              <w:jc w:val="center"/>
              <w:rPr>
                <w:rFonts w:ascii="宋体" w:hAnsi="宋体"/>
                <w:szCs w:val="21"/>
              </w:rPr>
            </w:pPr>
          </w:p>
        </w:tc>
        <w:tc>
          <w:tcPr>
            <w:tcW w:w="3150" w:type="dxa"/>
            <w:vAlign w:val="center"/>
          </w:tcPr>
          <w:p w14:paraId="134CC478">
            <w:pPr>
              <w:adjustRightInd w:val="0"/>
              <w:snapToGrid w:val="0"/>
              <w:spacing w:line="360" w:lineRule="auto"/>
              <w:ind w:firstLine="420" w:firstLineChars="200"/>
              <w:jc w:val="center"/>
              <w:rPr>
                <w:rFonts w:ascii="宋体" w:hAnsi="宋体"/>
                <w:szCs w:val="21"/>
              </w:rPr>
            </w:pPr>
          </w:p>
        </w:tc>
        <w:tc>
          <w:tcPr>
            <w:tcW w:w="1172" w:type="dxa"/>
            <w:vAlign w:val="center"/>
          </w:tcPr>
          <w:p w14:paraId="47B9ADB2">
            <w:pPr>
              <w:adjustRightInd w:val="0"/>
              <w:snapToGrid w:val="0"/>
              <w:spacing w:line="360" w:lineRule="auto"/>
              <w:ind w:firstLine="420" w:firstLineChars="200"/>
              <w:jc w:val="center"/>
              <w:rPr>
                <w:rFonts w:ascii="宋体" w:hAnsi="宋体"/>
                <w:szCs w:val="21"/>
              </w:rPr>
            </w:pPr>
          </w:p>
        </w:tc>
        <w:tc>
          <w:tcPr>
            <w:tcW w:w="3055" w:type="dxa"/>
            <w:vAlign w:val="center"/>
          </w:tcPr>
          <w:p w14:paraId="13C542B3">
            <w:pPr>
              <w:adjustRightInd w:val="0"/>
              <w:snapToGrid w:val="0"/>
              <w:spacing w:line="360" w:lineRule="auto"/>
              <w:ind w:firstLine="420" w:firstLineChars="200"/>
              <w:jc w:val="center"/>
              <w:rPr>
                <w:rFonts w:ascii="宋体" w:hAnsi="宋体"/>
                <w:szCs w:val="21"/>
              </w:rPr>
            </w:pPr>
          </w:p>
        </w:tc>
      </w:tr>
      <w:tr w14:paraId="3349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F90E499">
            <w:pPr>
              <w:adjustRightInd w:val="0"/>
              <w:snapToGrid w:val="0"/>
              <w:spacing w:line="360" w:lineRule="auto"/>
              <w:ind w:firstLine="420" w:firstLineChars="200"/>
              <w:jc w:val="center"/>
              <w:rPr>
                <w:rFonts w:ascii="宋体" w:hAnsi="宋体"/>
                <w:szCs w:val="21"/>
              </w:rPr>
            </w:pPr>
          </w:p>
        </w:tc>
        <w:tc>
          <w:tcPr>
            <w:tcW w:w="1081" w:type="dxa"/>
            <w:vAlign w:val="center"/>
          </w:tcPr>
          <w:p w14:paraId="3760655F">
            <w:pPr>
              <w:adjustRightInd w:val="0"/>
              <w:snapToGrid w:val="0"/>
              <w:spacing w:line="360" w:lineRule="auto"/>
              <w:ind w:firstLine="420" w:firstLineChars="200"/>
              <w:jc w:val="center"/>
              <w:rPr>
                <w:rFonts w:ascii="宋体" w:hAnsi="宋体"/>
                <w:szCs w:val="21"/>
              </w:rPr>
            </w:pPr>
          </w:p>
        </w:tc>
        <w:tc>
          <w:tcPr>
            <w:tcW w:w="3150" w:type="dxa"/>
            <w:vAlign w:val="center"/>
          </w:tcPr>
          <w:p w14:paraId="4C889601">
            <w:pPr>
              <w:adjustRightInd w:val="0"/>
              <w:snapToGrid w:val="0"/>
              <w:spacing w:line="360" w:lineRule="auto"/>
              <w:ind w:firstLine="420" w:firstLineChars="200"/>
              <w:jc w:val="center"/>
              <w:rPr>
                <w:rFonts w:ascii="宋体" w:hAnsi="宋体"/>
                <w:szCs w:val="21"/>
              </w:rPr>
            </w:pPr>
          </w:p>
        </w:tc>
        <w:tc>
          <w:tcPr>
            <w:tcW w:w="1172" w:type="dxa"/>
            <w:vAlign w:val="center"/>
          </w:tcPr>
          <w:p w14:paraId="7CECB95C">
            <w:pPr>
              <w:adjustRightInd w:val="0"/>
              <w:snapToGrid w:val="0"/>
              <w:spacing w:line="360" w:lineRule="auto"/>
              <w:ind w:firstLine="420" w:firstLineChars="200"/>
              <w:jc w:val="center"/>
              <w:rPr>
                <w:rFonts w:ascii="宋体" w:hAnsi="宋体"/>
                <w:szCs w:val="21"/>
              </w:rPr>
            </w:pPr>
          </w:p>
        </w:tc>
        <w:tc>
          <w:tcPr>
            <w:tcW w:w="3055" w:type="dxa"/>
            <w:vAlign w:val="center"/>
          </w:tcPr>
          <w:p w14:paraId="6BEE517F">
            <w:pPr>
              <w:adjustRightInd w:val="0"/>
              <w:snapToGrid w:val="0"/>
              <w:spacing w:line="360" w:lineRule="auto"/>
              <w:ind w:firstLine="420" w:firstLineChars="200"/>
              <w:jc w:val="center"/>
              <w:rPr>
                <w:rFonts w:ascii="宋体" w:hAnsi="宋体"/>
                <w:szCs w:val="21"/>
              </w:rPr>
            </w:pPr>
          </w:p>
        </w:tc>
      </w:tr>
      <w:tr w14:paraId="283A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 w:type="dxa"/>
            <w:vAlign w:val="center"/>
          </w:tcPr>
          <w:p w14:paraId="16E76ABF">
            <w:pPr>
              <w:adjustRightInd w:val="0"/>
              <w:snapToGrid w:val="0"/>
              <w:spacing w:line="360" w:lineRule="auto"/>
              <w:ind w:firstLine="420" w:firstLineChars="200"/>
              <w:jc w:val="center"/>
              <w:rPr>
                <w:rFonts w:ascii="宋体" w:hAnsi="宋体"/>
                <w:szCs w:val="21"/>
              </w:rPr>
            </w:pPr>
          </w:p>
        </w:tc>
        <w:tc>
          <w:tcPr>
            <w:tcW w:w="1081" w:type="dxa"/>
            <w:vAlign w:val="center"/>
          </w:tcPr>
          <w:p w14:paraId="206ED20E">
            <w:pPr>
              <w:adjustRightInd w:val="0"/>
              <w:snapToGrid w:val="0"/>
              <w:spacing w:line="360" w:lineRule="auto"/>
              <w:ind w:firstLine="420" w:firstLineChars="200"/>
              <w:jc w:val="center"/>
              <w:rPr>
                <w:rFonts w:ascii="宋体" w:hAnsi="宋体"/>
                <w:szCs w:val="21"/>
              </w:rPr>
            </w:pPr>
          </w:p>
        </w:tc>
        <w:tc>
          <w:tcPr>
            <w:tcW w:w="3150" w:type="dxa"/>
            <w:vAlign w:val="center"/>
          </w:tcPr>
          <w:p w14:paraId="0F1D90C8">
            <w:pPr>
              <w:adjustRightInd w:val="0"/>
              <w:snapToGrid w:val="0"/>
              <w:spacing w:line="360" w:lineRule="auto"/>
              <w:ind w:firstLine="420" w:firstLineChars="200"/>
              <w:jc w:val="center"/>
              <w:rPr>
                <w:rFonts w:ascii="宋体" w:hAnsi="宋体"/>
                <w:szCs w:val="21"/>
              </w:rPr>
            </w:pPr>
          </w:p>
        </w:tc>
        <w:tc>
          <w:tcPr>
            <w:tcW w:w="1172" w:type="dxa"/>
            <w:vAlign w:val="center"/>
          </w:tcPr>
          <w:p w14:paraId="4CBAA4C2">
            <w:pPr>
              <w:adjustRightInd w:val="0"/>
              <w:snapToGrid w:val="0"/>
              <w:spacing w:line="360" w:lineRule="auto"/>
              <w:ind w:firstLine="420" w:firstLineChars="200"/>
              <w:jc w:val="center"/>
              <w:rPr>
                <w:rFonts w:ascii="宋体" w:hAnsi="宋体"/>
                <w:szCs w:val="21"/>
              </w:rPr>
            </w:pPr>
          </w:p>
        </w:tc>
        <w:tc>
          <w:tcPr>
            <w:tcW w:w="3055" w:type="dxa"/>
            <w:vAlign w:val="center"/>
          </w:tcPr>
          <w:p w14:paraId="3FAB2903">
            <w:pPr>
              <w:adjustRightInd w:val="0"/>
              <w:snapToGrid w:val="0"/>
              <w:spacing w:line="360" w:lineRule="auto"/>
              <w:ind w:firstLine="420" w:firstLineChars="200"/>
              <w:jc w:val="center"/>
              <w:rPr>
                <w:rFonts w:ascii="宋体" w:hAnsi="宋体"/>
                <w:szCs w:val="21"/>
              </w:rPr>
            </w:pPr>
          </w:p>
        </w:tc>
      </w:tr>
    </w:tbl>
    <w:p w14:paraId="5EA7D46F">
      <w:pPr>
        <w:adjustRightInd w:val="0"/>
        <w:snapToGrid w:val="0"/>
        <w:spacing w:line="360" w:lineRule="auto"/>
        <w:rPr>
          <w:rFonts w:ascii="宋体" w:hAnsi="宋体"/>
          <w:szCs w:val="21"/>
        </w:rPr>
      </w:pPr>
    </w:p>
    <w:p w14:paraId="36336B21">
      <w:pPr>
        <w:adjustRightInd w:val="0"/>
        <w:snapToGrid w:val="0"/>
        <w:spacing w:line="360" w:lineRule="auto"/>
        <w:ind w:firstLine="420" w:firstLineChars="200"/>
        <w:rPr>
          <w:rFonts w:ascii="宋体" w:hAnsi="宋体"/>
          <w:szCs w:val="21"/>
        </w:rPr>
      </w:pPr>
    </w:p>
    <w:p w14:paraId="3E45A378">
      <w:pPr>
        <w:pStyle w:val="3"/>
        <w:rPr>
          <w:rFonts w:ascii="宋体" w:hAnsi="宋体"/>
          <w:sz w:val="21"/>
          <w:szCs w:val="21"/>
        </w:rPr>
      </w:pPr>
    </w:p>
    <w:p w14:paraId="3489F0C0">
      <w:pPr>
        <w:rPr>
          <w:rFonts w:ascii="宋体" w:hAnsi="宋体"/>
          <w:szCs w:val="21"/>
        </w:rPr>
      </w:pPr>
    </w:p>
    <w:p w14:paraId="51B4D94F">
      <w:pPr>
        <w:pStyle w:val="3"/>
      </w:pPr>
    </w:p>
    <w:p w14:paraId="55974FDB">
      <w:pPr>
        <w:adjustRightInd w:val="0"/>
        <w:snapToGrid w:val="0"/>
        <w:spacing w:line="360" w:lineRule="auto"/>
        <w:ind w:firstLine="420" w:firstLineChars="200"/>
        <w:rPr>
          <w:rFonts w:ascii="宋体" w:hAnsi="宋体"/>
          <w:szCs w:val="21"/>
        </w:rPr>
      </w:pPr>
    </w:p>
    <w:p w14:paraId="78B97F6C">
      <w:pPr>
        <w:adjustRightInd w:val="0"/>
        <w:snapToGrid w:val="0"/>
        <w:spacing w:line="360" w:lineRule="auto"/>
        <w:ind w:firstLine="420" w:firstLineChars="200"/>
        <w:jc w:val="right"/>
        <w:rPr>
          <w:rFonts w:ascii="宋体" w:hAnsi="宋体"/>
          <w:szCs w:val="21"/>
        </w:rPr>
      </w:pPr>
      <w:r>
        <w:rPr>
          <w:rFonts w:hint="eastAsia" w:ascii="宋体" w:hAnsi="宋体"/>
          <w:szCs w:val="21"/>
        </w:rPr>
        <w:t>供应商：（盖供应商单位公章）</w:t>
      </w:r>
    </w:p>
    <w:p w14:paraId="5C236C24">
      <w:pPr>
        <w:adjustRightInd w:val="0"/>
        <w:snapToGrid w:val="0"/>
        <w:spacing w:line="360" w:lineRule="auto"/>
        <w:ind w:firstLine="420" w:firstLineChars="200"/>
        <w:rPr>
          <w:rFonts w:ascii="宋体" w:hAnsi="宋体"/>
          <w:szCs w:val="21"/>
        </w:rPr>
      </w:pPr>
    </w:p>
    <w:p w14:paraId="3B51636E">
      <w:pPr>
        <w:adjustRightInd w:val="0"/>
        <w:snapToGrid w:val="0"/>
        <w:spacing w:line="360" w:lineRule="auto"/>
        <w:ind w:firstLine="420" w:firstLineChars="200"/>
        <w:jc w:val="right"/>
        <w:rPr>
          <w:rFonts w:ascii="宋体" w:hAnsi="宋体"/>
          <w:szCs w:val="21"/>
        </w:rPr>
      </w:pPr>
      <w:r>
        <w:rPr>
          <w:rFonts w:hint="eastAsia" w:ascii="宋体" w:hAnsi="宋体"/>
          <w:szCs w:val="21"/>
        </w:rPr>
        <w:t>法定代表人或其委托代理人：（签字或印章）</w:t>
      </w:r>
    </w:p>
    <w:p w14:paraId="1AAC9AB5">
      <w:pPr>
        <w:adjustRightInd w:val="0"/>
        <w:snapToGrid w:val="0"/>
        <w:spacing w:line="360" w:lineRule="auto"/>
        <w:ind w:firstLine="420" w:firstLineChars="200"/>
        <w:rPr>
          <w:rFonts w:ascii="宋体" w:hAnsi="宋体"/>
          <w:szCs w:val="21"/>
        </w:rPr>
      </w:pPr>
    </w:p>
    <w:p w14:paraId="53362B9B">
      <w:pPr>
        <w:adjustRightInd w:val="0"/>
        <w:snapToGrid w:val="0"/>
        <w:spacing w:line="360" w:lineRule="auto"/>
        <w:ind w:firstLine="420" w:firstLineChars="200"/>
        <w:rPr>
          <w:rFonts w:ascii="宋体" w:hAnsi="宋体"/>
          <w:szCs w:val="21"/>
        </w:rPr>
      </w:pPr>
    </w:p>
    <w:p w14:paraId="1AE9BE67">
      <w:pPr>
        <w:adjustRightInd w:val="0"/>
        <w:snapToGrid w:val="0"/>
        <w:spacing w:line="360" w:lineRule="auto"/>
        <w:ind w:firstLine="420" w:firstLineChars="200"/>
        <w:jc w:val="right"/>
        <w:rPr>
          <w:szCs w:val="21"/>
        </w:rPr>
      </w:pPr>
      <w:r>
        <w:rPr>
          <w:rFonts w:hint="eastAsia" w:ascii="宋体" w:hAnsi="宋体"/>
          <w:szCs w:val="21"/>
        </w:rPr>
        <w:t>日  期：</w:t>
      </w:r>
      <w:r>
        <w:rPr>
          <w:rFonts w:hint="eastAsia" w:ascii="宋体" w:hAnsi="宋体"/>
          <w:szCs w:val="21"/>
          <w:lang w:val="en-US" w:eastAsia="zh-CN"/>
        </w:rPr>
        <w:t xml:space="preserve">   </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p w14:paraId="574E21C5">
      <w:pPr>
        <w:adjustRightInd w:val="0"/>
        <w:snapToGrid w:val="0"/>
        <w:spacing w:line="360" w:lineRule="auto"/>
        <w:ind w:firstLine="420" w:firstLineChars="200"/>
        <w:rPr>
          <w:szCs w:val="21"/>
        </w:rPr>
      </w:pPr>
    </w:p>
    <w:p w14:paraId="7E55E0B5">
      <w:pPr>
        <w:adjustRightInd w:val="0"/>
        <w:snapToGrid w:val="0"/>
        <w:spacing w:line="360" w:lineRule="auto"/>
        <w:ind w:firstLine="420" w:firstLineChars="200"/>
        <w:rPr>
          <w:szCs w:val="21"/>
        </w:rPr>
      </w:pPr>
    </w:p>
    <w:sectPr>
      <w:footerReference r:id="rId5" w:type="default"/>
      <w:footerReference r:id="rId6" w:type="even"/>
      <w:pgSz w:w="11906" w:h="16838"/>
      <w:pgMar w:top="1440" w:right="1080" w:bottom="1440" w:left="1083" w:header="454"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C5DF01-D66F-4905-B3C9-AA2851CDC3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AA3CC042-1511-403A-90B0-A22FEF6E4C7A}"/>
  </w:font>
  <w:font w:name="微软雅黑">
    <w:panose1 w:val="020B0503020204020204"/>
    <w:charset w:val="86"/>
    <w:family w:val="swiss"/>
    <w:pitch w:val="default"/>
    <w:sig w:usb0="80000287" w:usb1="2ACF3C50" w:usb2="00000016" w:usb3="00000000" w:csb0="0004001F" w:csb1="00000000"/>
    <w:embedRegular r:id="rId3" w:fontKey="{E0218F1E-E70C-477B-ACAC-72AAF6DBAA74}"/>
  </w:font>
  <w:font w:name="_x000B__x000C_">
    <w:altName w:val="Times New Roman"/>
    <w:panose1 w:val="00000000000000000000"/>
    <w:charset w:val="00"/>
    <w:family w:val="roman"/>
    <w:pitch w:val="default"/>
    <w:sig w:usb0="00000000" w:usb1="00000000" w:usb2="00000000" w:usb3="00000000" w:csb0="00040001" w:csb1="00000000"/>
    <w:embedRegular r:id="rId4" w:fontKey="{088C535D-71BA-4DA3-9907-89C163862BC4}"/>
  </w:font>
  <w:font w:name="仿宋_GB2312">
    <w:panose1 w:val="02010609030101010101"/>
    <w:charset w:val="86"/>
    <w:family w:val="modern"/>
    <w:pitch w:val="default"/>
    <w:sig w:usb0="00000001" w:usb1="080E0000" w:usb2="00000000" w:usb3="00000000" w:csb0="00040000" w:csb1="00000000"/>
    <w:embedRegular r:id="rId5" w:fontKey="{4D1BDDFA-152A-4E14-9C3F-B8B48028E2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7A31A">
    <w:pPr>
      <w:pStyle w:val="8"/>
    </w:pPr>
  </w:p>
  <w:p w14:paraId="59BB62FB">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3CDCF8">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n+2U86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5/tlPOgIAAHEEAAAOAAAAAAAAAAEAIAAAAB8BAABkcnMvZTJvRG9j&#10;LnhtbFBLBQYAAAAABgAGAFkBAADLBQAAAAA=&#10;">
              <v:fill on="f" focussize="0,0"/>
              <v:stroke on="f" weight="0.5pt"/>
              <v:imagedata o:title=""/>
              <o:lock v:ext="edit" aspectratio="f"/>
              <v:textbox inset="0mm,0mm,0mm,0mm" style="mso-fit-shape-to-text:t;">
                <w:txbxContent>
                  <w:p w14:paraId="023CDCF8">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EC970">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21</w:t>
    </w:r>
    <w:r>
      <w:fldChar w:fldCharType="end"/>
    </w:r>
  </w:p>
  <w:p w14:paraId="5BF981D3">
    <w:pPr>
      <w:pStyle w:val="8"/>
    </w:pPr>
  </w:p>
  <w:p w14:paraId="2CA0A838"/>
  <w:p w14:paraId="337F2C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3993">
    <w:pPr>
      <w:pStyle w:val="8"/>
      <w:framePr w:wrap="around" w:vAnchor="text" w:hAnchor="margin" w:xAlign="center" w:y="1"/>
      <w:rPr>
        <w:rStyle w:val="16"/>
      </w:rPr>
    </w:pPr>
    <w:r>
      <w:fldChar w:fldCharType="begin"/>
    </w:r>
    <w:r>
      <w:rPr>
        <w:rStyle w:val="16"/>
      </w:rPr>
      <w:instrText xml:space="preserve">PAGE  </w:instrText>
    </w:r>
    <w:r>
      <w:fldChar w:fldCharType="end"/>
    </w:r>
  </w:p>
  <w:p w14:paraId="7A5727CB">
    <w:pPr>
      <w:pStyle w:val="8"/>
    </w:pPr>
  </w:p>
  <w:p w14:paraId="78C2B6CB"/>
  <w:p w14:paraId="5C6A168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3C475">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6EAE7"/>
    <w:multiLevelType w:val="singleLevel"/>
    <w:tmpl w:val="8E66EAE7"/>
    <w:lvl w:ilvl="0" w:tentative="0">
      <w:start w:val="7"/>
      <w:numFmt w:val="chineseCounting"/>
      <w:suff w:val="nothing"/>
      <w:lvlText w:val="%1、"/>
      <w:lvlJc w:val="left"/>
      <w:rPr>
        <w:rFonts w:hint="eastAsia"/>
      </w:rPr>
    </w:lvl>
  </w:abstractNum>
  <w:abstractNum w:abstractNumId="1">
    <w:nsid w:val="90B4244B"/>
    <w:multiLevelType w:val="singleLevel"/>
    <w:tmpl w:val="90B4244B"/>
    <w:lvl w:ilvl="0" w:tentative="0">
      <w:start w:val="1"/>
      <w:numFmt w:val="chineseCounting"/>
      <w:suff w:val="nothing"/>
      <w:lvlText w:val="%1、"/>
      <w:lvlJc w:val="left"/>
      <w:rPr>
        <w:rFonts w:hint="eastAsia"/>
      </w:rPr>
    </w:lvl>
  </w:abstractNum>
  <w:abstractNum w:abstractNumId="2">
    <w:nsid w:val="97C30CC9"/>
    <w:multiLevelType w:val="singleLevel"/>
    <w:tmpl w:val="97C30CC9"/>
    <w:lvl w:ilvl="0" w:tentative="0">
      <w:start w:val="2"/>
      <w:numFmt w:val="chineseCounting"/>
      <w:suff w:val="space"/>
      <w:lvlText w:val="第%1章"/>
      <w:lvlJc w:val="left"/>
      <w:rPr>
        <w:rFonts w:hint="eastAsia"/>
      </w:rPr>
    </w:lvl>
  </w:abstractNum>
  <w:abstractNum w:abstractNumId="3">
    <w:nsid w:val="CD4C943F"/>
    <w:multiLevelType w:val="singleLevel"/>
    <w:tmpl w:val="CD4C943F"/>
    <w:lvl w:ilvl="0" w:tentative="0">
      <w:start w:val="1"/>
      <w:numFmt w:val="chineseCounting"/>
      <w:suff w:val="nothing"/>
      <w:lvlText w:val="%1、"/>
      <w:lvlJc w:val="left"/>
      <w:rPr>
        <w:rFonts w:hint="eastAsia"/>
      </w:rPr>
    </w:lvl>
  </w:abstractNum>
  <w:abstractNum w:abstractNumId="4">
    <w:nsid w:val="15B26FB5"/>
    <w:multiLevelType w:val="singleLevel"/>
    <w:tmpl w:val="15B26FB5"/>
    <w:lvl w:ilvl="0" w:tentative="0">
      <w:start w:val="1"/>
      <w:numFmt w:val="decimal"/>
      <w:suff w:val="nothing"/>
      <w:lvlText w:val="（%1）"/>
      <w:lvlJc w:val="left"/>
      <w:pPr>
        <w:ind w:left="70"/>
      </w:pPr>
    </w:lvl>
  </w:abstractNum>
  <w:abstractNum w:abstractNumId="5">
    <w:nsid w:val="1A4A02AE"/>
    <w:multiLevelType w:val="singleLevel"/>
    <w:tmpl w:val="1A4A02AE"/>
    <w:lvl w:ilvl="0" w:tentative="0">
      <w:start w:val="1"/>
      <w:numFmt w:val="decimal"/>
      <w:lvlText w:val="%1."/>
      <w:lvlJc w:val="left"/>
      <w:pPr>
        <w:tabs>
          <w:tab w:val="left" w:pos="312"/>
        </w:tabs>
      </w:pPr>
    </w:lvl>
  </w:abstractNum>
  <w:abstractNum w:abstractNumId="6">
    <w:nsid w:val="28C1339B"/>
    <w:multiLevelType w:val="multilevel"/>
    <w:tmpl w:val="28C1339B"/>
    <w:lvl w:ilvl="0" w:tentative="0">
      <w:start w:val="1"/>
      <w:numFmt w:val="decimal"/>
      <w:pStyle w:val="34"/>
      <w:lvlText w:val="%1."/>
      <w:lvlJc w:val="left"/>
      <w:pPr>
        <w:ind w:left="425" w:hanging="425"/>
      </w:pPr>
      <w:rPr>
        <w:rFonts w:hint="eastAsia"/>
      </w:rPr>
    </w:lvl>
    <w:lvl w:ilvl="1" w:tentative="0">
      <w:start w:val="1"/>
      <w:numFmt w:val="decimal"/>
      <w:lvlText w:val="%1.%2."/>
      <w:lvlJc w:val="left"/>
      <w:pPr>
        <w:ind w:left="284"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2" w:tentative="0">
      <w:start w:val="1"/>
      <w:numFmt w:val="decimal"/>
      <w:lvlText w:val="%1.%2.%3."/>
      <w:lvlJc w:val="left"/>
      <w:pPr>
        <w:ind w:left="284"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3" w:tentative="0">
      <w:start w:val="1"/>
      <w:numFmt w:val="decimal"/>
      <w:lvlText w:val="%1.%2.%3.%4."/>
      <w:lvlJc w:val="left"/>
      <w:pPr>
        <w:ind w:left="284"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557BC311"/>
    <w:multiLevelType w:val="singleLevel"/>
    <w:tmpl w:val="557BC311"/>
    <w:lvl w:ilvl="0" w:tentative="0">
      <w:start w:val="1"/>
      <w:numFmt w:val="decimal"/>
      <w:suff w:val="nothing"/>
      <w:lvlText w:val="（%1）"/>
      <w:lvlJc w:val="left"/>
      <w:pPr>
        <w:ind w:left="70"/>
      </w:pPr>
    </w:lvl>
  </w:abstractNum>
  <w:num w:numId="1">
    <w:abstractNumId w:val="6"/>
  </w:num>
  <w:num w:numId="2">
    <w:abstractNumId w:val="3"/>
  </w:num>
  <w:num w:numId="3">
    <w:abstractNumId w:val="7"/>
  </w:num>
  <w:num w:numId="4">
    <w:abstractNumId w:val="0"/>
  </w:num>
  <w:num w:numId="5">
    <w:abstractNumId w:val="2"/>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mQwZTMxNGEzMDQ3NzM2MTFhZmUyYWE0NDdhZGEifQ=="/>
  </w:docVars>
  <w:rsids>
    <w:rsidRoot w:val="005B079D"/>
    <w:rsid w:val="000C7157"/>
    <w:rsid w:val="0038140B"/>
    <w:rsid w:val="003F018D"/>
    <w:rsid w:val="00405979"/>
    <w:rsid w:val="005A5480"/>
    <w:rsid w:val="005B079D"/>
    <w:rsid w:val="005D2FBC"/>
    <w:rsid w:val="00647A3D"/>
    <w:rsid w:val="007A6DF1"/>
    <w:rsid w:val="007B57ED"/>
    <w:rsid w:val="007E1798"/>
    <w:rsid w:val="009417CB"/>
    <w:rsid w:val="00C81993"/>
    <w:rsid w:val="00FA5E3B"/>
    <w:rsid w:val="00FD5FB0"/>
    <w:rsid w:val="01193F21"/>
    <w:rsid w:val="013E29D4"/>
    <w:rsid w:val="01B31E7D"/>
    <w:rsid w:val="02731E4C"/>
    <w:rsid w:val="02895041"/>
    <w:rsid w:val="028C4E9F"/>
    <w:rsid w:val="03762F3D"/>
    <w:rsid w:val="0397607D"/>
    <w:rsid w:val="03A80C9D"/>
    <w:rsid w:val="04806B11"/>
    <w:rsid w:val="048325E3"/>
    <w:rsid w:val="058C73C0"/>
    <w:rsid w:val="066E5B30"/>
    <w:rsid w:val="06CB0518"/>
    <w:rsid w:val="073E5A8B"/>
    <w:rsid w:val="099A2423"/>
    <w:rsid w:val="09A65898"/>
    <w:rsid w:val="0A0A4C21"/>
    <w:rsid w:val="0A634F0B"/>
    <w:rsid w:val="0A647111"/>
    <w:rsid w:val="0B1953EE"/>
    <w:rsid w:val="0B996E37"/>
    <w:rsid w:val="0C9E69C8"/>
    <w:rsid w:val="0D5A0AF7"/>
    <w:rsid w:val="0D6E2A31"/>
    <w:rsid w:val="0E287DCB"/>
    <w:rsid w:val="0E2F5830"/>
    <w:rsid w:val="0EEE01E8"/>
    <w:rsid w:val="0F6B02EB"/>
    <w:rsid w:val="0F810D06"/>
    <w:rsid w:val="0F9E1350"/>
    <w:rsid w:val="10076B03"/>
    <w:rsid w:val="100D40F2"/>
    <w:rsid w:val="100E76C7"/>
    <w:rsid w:val="104D01F0"/>
    <w:rsid w:val="10797237"/>
    <w:rsid w:val="1107617E"/>
    <w:rsid w:val="118C4759"/>
    <w:rsid w:val="1198193E"/>
    <w:rsid w:val="138403CC"/>
    <w:rsid w:val="147312B2"/>
    <w:rsid w:val="172A3039"/>
    <w:rsid w:val="1768076A"/>
    <w:rsid w:val="1787048B"/>
    <w:rsid w:val="19310B54"/>
    <w:rsid w:val="1A8A0B17"/>
    <w:rsid w:val="1AA26C50"/>
    <w:rsid w:val="1AB570BD"/>
    <w:rsid w:val="1B267FBB"/>
    <w:rsid w:val="1BD31F03"/>
    <w:rsid w:val="1BE94C14"/>
    <w:rsid w:val="1C2E35CB"/>
    <w:rsid w:val="1E4E1622"/>
    <w:rsid w:val="1E5935A7"/>
    <w:rsid w:val="1EAF001D"/>
    <w:rsid w:val="1FED1452"/>
    <w:rsid w:val="203B1E13"/>
    <w:rsid w:val="20C718F8"/>
    <w:rsid w:val="2208041A"/>
    <w:rsid w:val="228F5837"/>
    <w:rsid w:val="24696EBE"/>
    <w:rsid w:val="257A33E6"/>
    <w:rsid w:val="2689097A"/>
    <w:rsid w:val="282846A3"/>
    <w:rsid w:val="28687E65"/>
    <w:rsid w:val="29193E2B"/>
    <w:rsid w:val="29265C8F"/>
    <w:rsid w:val="296C2B9C"/>
    <w:rsid w:val="2A1E28C6"/>
    <w:rsid w:val="2A8E4AE5"/>
    <w:rsid w:val="2AAC1AFF"/>
    <w:rsid w:val="2B2C2492"/>
    <w:rsid w:val="2B3A4058"/>
    <w:rsid w:val="2C020367"/>
    <w:rsid w:val="2E624B42"/>
    <w:rsid w:val="2E813A2E"/>
    <w:rsid w:val="2F2D5A4F"/>
    <w:rsid w:val="2FF97F9C"/>
    <w:rsid w:val="30731B9F"/>
    <w:rsid w:val="3086717B"/>
    <w:rsid w:val="31252673"/>
    <w:rsid w:val="31880C30"/>
    <w:rsid w:val="321445A7"/>
    <w:rsid w:val="32F15F83"/>
    <w:rsid w:val="33634D15"/>
    <w:rsid w:val="341B22D8"/>
    <w:rsid w:val="34217095"/>
    <w:rsid w:val="34A83397"/>
    <w:rsid w:val="357913E5"/>
    <w:rsid w:val="35CB596A"/>
    <w:rsid w:val="35F069AE"/>
    <w:rsid w:val="36BD4AD5"/>
    <w:rsid w:val="37B307BF"/>
    <w:rsid w:val="381543F3"/>
    <w:rsid w:val="38612FED"/>
    <w:rsid w:val="3A2A4F7A"/>
    <w:rsid w:val="3A575643"/>
    <w:rsid w:val="3AD815B7"/>
    <w:rsid w:val="3C1C763F"/>
    <w:rsid w:val="3D6A38DF"/>
    <w:rsid w:val="3DE74F30"/>
    <w:rsid w:val="3E2679D9"/>
    <w:rsid w:val="3E862B51"/>
    <w:rsid w:val="3F620D12"/>
    <w:rsid w:val="3FE91D52"/>
    <w:rsid w:val="3FEE07F8"/>
    <w:rsid w:val="402D2C54"/>
    <w:rsid w:val="405B5C47"/>
    <w:rsid w:val="4145641D"/>
    <w:rsid w:val="416074D3"/>
    <w:rsid w:val="41D659E7"/>
    <w:rsid w:val="41E901AC"/>
    <w:rsid w:val="4297589E"/>
    <w:rsid w:val="42C81DCF"/>
    <w:rsid w:val="432C6CEB"/>
    <w:rsid w:val="433A4C90"/>
    <w:rsid w:val="43E97E5F"/>
    <w:rsid w:val="441F3676"/>
    <w:rsid w:val="457E6487"/>
    <w:rsid w:val="45D16BF2"/>
    <w:rsid w:val="47724D12"/>
    <w:rsid w:val="479E11CE"/>
    <w:rsid w:val="47C307BC"/>
    <w:rsid w:val="49134B75"/>
    <w:rsid w:val="497E0E3E"/>
    <w:rsid w:val="49980419"/>
    <w:rsid w:val="4AA042F5"/>
    <w:rsid w:val="4B013AD5"/>
    <w:rsid w:val="4BF3740D"/>
    <w:rsid w:val="4C7C1BA3"/>
    <w:rsid w:val="4C923579"/>
    <w:rsid w:val="4CB66725"/>
    <w:rsid w:val="4CD86AB8"/>
    <w:rsid w:val="4D3A41C8"/>
    <w:rsid w:val="4DA608A6"/>
    <w:rsid w:val="4DA70DD0"/>
    <w:rsid w:val="4DE21F33"/>
    <w:rsid w:val="4E71281B"/>
    <w:rsid w:val="4F9D18F3"/>
    <w:rsid w:val="50723740"/>
    <w:rsid w:val="508411CF"/>
    <w:rsid w:val="51CB0999"/>
    <w:rsid w:val="521C429C"/>
    <w:rsid w:val="52AC274C"/>
    <w:rsid w:val="52CB6777"/>
    <w:rsid w:val="53601EC7"/>
    <w:rsid w:val="537D0084"/>
    <w:rsid w:val="53AC0356"/>
    <w:rsid w:val="53BC0D04"/>
    <w:rsid w:val="53BF7BB2"/>
    <w:rsid w:val="53CF0730"/>
    <w:rsid w:val="54067E36"/>
    <w:rsid w:val="544B0D60"/>
    <w:rsid w:val="546B1FBF"/>
    <w:rsid w:val="556559AC"/>
    <w:rsid w:val="556B3031"/>
    <w:rsid w:val="55797028"/>
    <w:rsid w:val="56CB4F97"/>
    <w:rsid w:val="57C30AFC"/>
    <w:rsid w:val="586E079B"/>
    <w:rsid w:val="58B97866"/>
    <w:rsid w:val="58F7498F"/>
    <w:rsid w:val="596A5D4A"/>
    <w:rsid w:val="5B154948"/>
    <w:rsid w:val="5B5639C9"/>
    <w:rsid w:val="5BC0193C"/>
    <w:rsid w:val="5BF154A0"/>
    <w:rsid w:val="5C910A31"/>
    <w:rsid w:val="5C95407D"/>
    <w:rsid w:val="5D0C042E"/>
    <w:rsid w:val="5E023697"/>
    <w:rsid w:val="5F102F7F"/>
    <w:rsid w:val="5F7A755A"/>
    <w:rsid w:val="61736957"/>
    <w:rsid w:val="62073FBC"/>
    <w:rsid w:val="622C5484"/>
    <w:rsid w:val="6280132C"/>
    <w:rsid w:val="64624BAF"/>
    <w:rsid w:val="64CE3C75"/>
    <w:rsid w:val="650A3F14"/>
    <w:rsid w:val="658F5141"/>
    <w:rsid w:val="65E63500"/>
    <w:rsid w:val="6712276E"/>
    <w:rsid w:val="67550FD9"/>
    <w:rsid w:val="686C4E79"/>
    <w:rsid w:val="68C65C96"/>
    <w:rsid w:val="695847ED"/>
    <w:rsid w:val="6ABF177A"/>
    <w:rsid w:val="6B6A6CD0"/>
    <w:rsid w:val="6CC92C88"/>
    <w:rsid w:val="6D1E3428"/>
    <w:rsid w:val="6D7777CF"/>
    <w:rsid w:val="6DD4392E"/>
    <w:rsid w:val="6DEE183F"/>
    <w:rsid w:val="6E0D19A1"/>
    <w:rsid w:val="6E5024FA"/>
    <w:rsid w:val="6F9365C6"/>
    <w:rsid w:val="700970F9"/>
    <w:rsid w:val="7030352D"/>
    <w:rsid w:val="7036635E"/>
    <w:rsid w:val="70425E72"/>
    <w:rsid w:val="714C7EEE"/>
    <w:rsid w:val="732F476E"/>
    <w:rsid w:val="762229CE"/>
    <w:rsid w:val="76BD2E74"/>
    <w:rsid w:val="76FB13B4"/>
    <w:rsid w:val="773E6601"/>
    <w:rsid w:val="7752146A"/>
    <w:rsid w:val="77D01B55"/>
    <w:rsid w:val="77FE6B23"/>
    <w:rsid w:val="78307FCA"/>
    <w:rsid w:val="79B14F86"/>
    <w:rsid w:val="7B233016"/>
    <w:rsid w:val="7BDA1655"/>
    <w:rsid w:val="7C634F0E"/>
    <w:rsid w:val="7CEE2360"/>
    <w:rsid w:val="7D0D160C"/>
    <w:rsid w:val="7E437985"/>
    <w:rsid w:val="7FCA24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line="560" w:lineRule="exact"/>
      <w:ind w:firstLine="560" w:firstLineChars="200"/>
      <w:jc w:val="center"/>
      <w:outlineLvl w:val="1"/>
    </w:pPr>
    <w:rPr>
      <w:rFonts w:ascii="Arial Narrow" w:hAnsi="Arial Narrow" w:eastAsia="黑体"/>
      <w:b/>
      <w:bCs/>
      <w:sz w:val="32"/>
      <w:szCs w:val="28"/>
    </w:rPr>
  </w:style>
  <w:style w:type="paragraph" w:styleId="3">
    <w:name w:val="heading 3"/>
    <w:next w:val="1"/>
    <w:unhideWhenUsed/>
    <w:qFormat/>
    <w:uiPriority w:val="9"/>
    <w:pPr>
      <w:keepNext/>
      <w:keepLines/>
      <w:widowControl w:val="0"/>
      <w:spacing w:before="260" w:after="180"/>
      <w:jc w:val="both"/>
      <w:outlineLvl w:val="2"/>
    </w:pPr>
    <w:rPr>
      <w:rFonts w:ascii="Arial" w:hAnsi="Arial" w:eastAsia="Arial Unicode MS" w:cs="Arial Unicode MS"/>
      <w:b/>
      <w:bCs/>
      <w:color w:val="000000"/>
      <w:kern w:val="2"/>
      <w:sz w:val="30"/>
      <w:szCs w:val="30"/>
      <w:u w:color="000000"/>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caption"/>
    <w:basedOn w:val="1"/>
    <w:next w:val="1"/>
    <w:autoRedefine/>
    <w:semiHidden/>
    <w:qFormat/>
    <w:uiPriority w:val="0"/>
    <w:rPr>
      <w:rFonts w:ascii="Arial" w:hAnsi="Arial" w:eastAsia="黑体" w:cs="Arial"/>
      <w:sz w:val="20"/>
      <w:szCs w:val="20"/>
    </w:rPr>
  </w:style>
  <w:style w:type="paragraph" w:styleId="6">
    <w:name w:val="Body Text"/>
    <w:basedOn w:val="1"/>
    <w:autoRedefine/>
    <w:qFormat/>
    <w:uiPriority w:val="0"/>
    <w:pPr>
      <w:spacing w:after="120"/>
    </w:pPr>
    <w:rPr>
      <w:kern w:val="0"/>
      <w:sz w:val="20"/>
    </w:rPr>
  </w:style>
  <w:style w:type="paragraph" w:styleId="7">
    <w:name w:val="Balloon Text"/>
    <w:basedOn w:val="1"/>
    <w:link w:val="33"/>
    <w:qFormat/>
    <w:uiPriority w:val="0"/>
    <w:rPr>
      <w:sz w:val="18"/>
      <w:szCs w:val="18"/>
    </w:rPr>
  </w:style>
  <w:style w:type="paragraph" w:styleId="8">
    <w:name w:val="footer"/>
    <w:basedOn w:val="1"/>
    <w:autoRedefine/>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10">
    <w:name w:val="Body Text 2"/>
    <w:basedOn w:val="1"/>
    <w:autoRedefine/>
    <w:qFormat/>
    <w:uiPriority w:val="0"/>
    <w:pPr>
      <w:spacing w:after="120" w:line="480" w:lineRule="auto"/>
    </w:pPr>
    <w:rPr>
      <w:szCs w:val="20"/>
    </w:rPr>
  </w:style>
  <w:style w:type="paragraph" w:styleId="11">
    <w:name w:val="Normal (Web)"/>
    <w:basedOn w:val="1"/>
    <w:autoRedefine/>
    <w:qFormat/>
    <w:uiPriority w:val="0"/>
    <w:rPr>
      <w:sz w:val="24"/>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page number"/>
    <w:basedOn w:val="14"/>
    <w:autoRedefine/>
    <w:qFormat/>
    <w:uiPriority w:val="0"/>
  </w:style>
  <w:style w:type="character" w:styleId="17">
    <w:name w:val="Hyperlink"/>
    <w:basedOn w:val="14"/>
    <w:autoRedefine/>
    <w:qFormat/>
    <w:uiPriority w:val="0"/>
    <w:rPr>
      <w:color w:val="0000FF"/>
      <w:u w:val="single"/>
    </w:rPr>
  </w:style>
  <w:style w:type="paragraph" w:customStyle="1" w:styleId="18">
    <w:name w:val="Default"/>
    <w:autoRedefine/>
    <w:qFormat/>
    <w:uiPriority w:val="0"/>
    <w:pPr>
      <w:widowControl w:val="0"/>
      <w:autoSpaceDE w:val="0"/>
      <w:autoSpaceDN w:val="0"/>
      <w:adjustRightInd w:val="0"/>
    </w:pPr>
    <w:rPr>
      <w:rFonts w:ascii="宋体" w:hAnsi="等线" w:eastAsia="宋体" w:cs="宋体"/>
      <w:color w:val="000000"/>
      <w:sz w:val="24"/>
      <w:szCs w:val="24"/>
      <w:lang w:val="en-US" w:eastAsia="zh-CN" w:bidi="ar-SA"/>
    </w:rPr>
  </w:style>
  <w:style w:type="character" w:customStyle="1" w:styleId="19">
    <w:name w:val="font61"/>
    <w:basedOn w:val="14"/>
    <w:autoRedefine/>
    <w:qFormat/>
    <w:uiPriority w:val="0"/>
    <w:rPr>
      <w:rFonts w:hint="eastAsia" w:ascii="宋体" w:hAnsi="宋体" w:eastAsia="宋体" w:cs="宋体"/>
      <w:color w:val="000000"/>
      <w:sz w:val="18"/>
      <w:szCs w:val="18"/>
      <w:u w:val="none"/>
    </w:rPr>
  </w:style>
  <w:style w:type="character" w:customStyle="1" w:styleId="20">
    <w:name w:val="font112"/>
    <w:basedOn w:val="14"/>
    <w:autoRedefine/>
    <w:qFormat/>
    <w:uiPriority w:val="0"/>
    <w:rPr>
      <w:rFonts w:hint="default" w:ascii="Times New Roman" w:hAnsi="Times New Roman" w:cs="Times New Roman"/>
      <w:color w:val="000000"/>
      <w:sz w:val="18"/>
      <w:szCs w:val="18"/>
      <w:u w:val="none"/>
    </w:rPr>
  </w:style>
  <w:style w:type="character" w:customStyle="1" w:styleId="21">
    <w:name w:val="font121"/>
    <w:basedOn w:val="14"/>
    <w:autoRedefine/>
    <w:qFormat/>
    <w:uiPriority w:val="0"/>
    <w:rPr>
      <w:rFonts w:hint="default" w:ascii="Times New Roman" w:hAnsi="Times New Roman" w:cs="Times New Roman"/>
      <w:color w:val="000000"/>
      <w:sz w:val="18"/>
      <w:szCs w:val="18"/>
      <w:u w:val="none"/>
    </w:rPr>
  </w:style>
  <w:style w:type="character" w:customStyle="1" w:styleId="22">
    <w:name w:val="font11"/>
    <w:basedOn w:val="14"/>
    <w:autoRedefine/>
    <w:qFormat/>
    <w:uiPriority w:val="0"/>
    <w:rPr>
      <w:rFonts w:hint="eastAsia" w:ascii="宋体" w:hAnsi="宋体" w:eastAsia="宋体" w:cs="宋体"/>
      <w:b/>
      <w:bCs/>
      <w:color w:val="000000"/>
      <w:sz w:val="24"/>
      <w:szCs w:val="24"/>
      <w:u w:val="none"/>
    </w:rPr>
  </w:style>
  <w:style w:type="character" w:customStyle="1" w:styleId="23">
    <w:name w:val="font21"/>
    <w:basedOn w:val="14"/>
    <w:autoRedefine/>
    <w:qFormat/>
    <w:uiPriority w:val="0"/>
    <w:rPr>
      <w:rFonts w:hint="eastAsia" w:ascii="宋体" w:hAnsi="宋体" w:eastAsia="宋体" w:cs="宋体"/>
      <w:b/>
      <w:bCs/>
      <w:color w:val="000000"/>
      <w:sz w:val="18"/>
      <w:szCs w:val="18"/>
      <w:u w:val="none"/>
    </w:rPr>
  </w:style>
  <w:style w:type="character" w:customStyle="1" w:styleId="24">
    <w:name w:val="font31"/>
    <w:basedOn w:val="14"/>
    <w:autoRedefine/>
    <w:qFormat/>
    <w:uiPriority w:val="0"/>
    <w:rPr>
      <w:rFonts w:hint="eastAsia" w:ascii="宋体" w:hAnsi="宋体" w:eastAsia="宋体" w:cs="宋体"/>
      <w:color w:val="000000"/>
      <w:sz w:val="18"/>
      <w:szCs w:val="18"/>
      <w:u w:val="none"/>
    </w:rPr>
  </w:style>
  <w:style w:type="character" w:customStyle="1" w:styleId="25">
    <w:name w:val="font41"/>
    <w:basedOn w:val="14"/>
    <w:autoRedefine/>
    <w:qFormat/>
    <w:uiPriority w:val="0"/>
    <w:rPr>
      <w:rFonts w:hint="eastAsia" w:ascii="宋体" w:hAnsi="宋体" w:eastAsia="宋体" w:cs="宋体"/>
      <w:color w:val="000000"/>
      <w:sz w:val="20"/>
      <w:szCs w:val="20"/>
      <w:u w:val="none"/>
    </w:rPr>
  </w:style>
  <w:style w:type="character" w:customStyle="1" w:styleId="26">
    <w:name w:val="font51"/>
    <w:basedOn w:val="14"/>
    <w:autoRedefine/>
    <w:qFormat/>
    <w:uiPriority w:val="0"/>
    <w:rPr>
      <w:rFonts w:hint="eastAsia" w:ascii="宋体" w:hAnsi="宋体" w:eastAsia="宋体" w:cs="宋体"/>
      <w:color w:val="000000"/>
      <w:sz w:val="22"/>
      <w:szCs w:val="22"/>
      <w:u w:val="none"/>
    </w:rPr>
  </w:style>
  <w:style w:type="paragraph" w:customStyle="1" w:styleId="27">
    <w:name w:val="style1"/>
    <w:basedOn w:val="1"/>
    <w:autoRedefine/>
    <w:qFormat/>
    <w:uiPriority w:val="0"/>
    <w:pPr>
      <w:widowControl/>
      <w:spacing w:before="100" w:beforeAutospacing="1" w:after="100" w:afterAutospacing="1" w:line="330" w:lineRule="atLeast"/>
      <w:jc w:val="left"/>
    </w:pPr>
    <w:rPr>
      <w:rFonts w:ascii="宋体" w:hAnsi="宋体" w:cs="宋体"/>
      <w:b/>
      <w:bCs/>
      <w:kern w:val="0"/>
      <w:sz w:val="22"/>
    </w:rPr>
  </w:style>
  <w:style w:type="paragraph" w:customStyle="1" w:styleId="28">
    <w:name w:val="图表题注"/>
    <w:basedOn w:val="5"/>
    <w:next w:val="4"/>
    <w:autoRedefine/>
    <w:qFormat/>
    <w:uiPriority w:val="0"/>
    <w:pPr>
      <w:spacing w:before="152" w:after="160"/>
      <w:jc w:val="center"/>
    </w:pPr>
    <w:rPr>
      <w:rFonts w:ascii="Times New Roman" w:hAnsi="Times New Roman" w:eastAsia="宋体" w:cs="Times New Roman"/>
      <w:sz w:val="21"/>
    </w:rPr>
  </w:style>
  <w:style w:type="paragraph" w:customStyle="1" w:styleId="29">
    <w:name w:val="Char1 Char Char Char"/>
    <w:basedOn w:val="1"/>
    <w:autoRedefine/>
    <w:qFormat/>
    <w:uiPriority w:val="0"/>
  </w:style>
  <w:style w:type="paragraph" w:customStyle="1" w:styleId="30">
    <w:name w:val="List Paragraph2"/>
    <w:basedOn w:val="1"/>
    <w:autoRedefine/>
    <w:qFormat/>
    <w:uiPriority w:val="99"/>
  </w:style>
  <w:style w:type="paragraph" w:customStyle="1" w:styleId="31">
    <w:name w:val="Table Text"/>
    <w:basedOn w:val="1"/>
    <w:semiHidden/>
    <w:qFormat/>
    <w:uiPriority w:val="0"/>
    <w:rPr>
      <w:rFonts w:ascii="宋体" w:hAnsi="宋体" w:cs="宋体"/>
      <w:szCs w:val="21"/>
      <w:lang w:eastAsia="en-US"/>
    </w:rPr>
  </w:style>
  <w:style w:type="table" w:customStyle="1" w:styleId="32">
    <w:name w:val="Table Normal"/>
    <w:semiHidden/>
    <w:unhideWhenUsed/>
    <w:qFormat/>
    <w:uiPriority w:val="0"/>
    <w:tblPr>
      <w:tblCellMar>
        <w:top w:w="0" w:type="dxa"/>
        <w:left w:w="0" w:type="dxa"/>
        <w:bottom w:w="0" w:type="dxa"/>
        <w:right w:w="0" w:type="dxa"/>
      </w:tblCellMar>
    </w:tblPr>
  </w:style>
  <w:style w:type="character" w:customStyle="1" w:styleId="33">
    <w:name w:val="批注框文本 Char"/>
    <w:basedOn w:val="14"/>
    <w:link w:val="7"/>
    <w:qFormat/>
    <w:uiPriority w:val="0"/>
    <w:rPr>
      <w:kern w:val="2"/>
      <w:sz w:val="18"/>
      <w:szCs w:val="18"/>
    </w:rPr>
  </w:style>
  <w:style w:type="paragraph" w:customStyle="1" w:styleId="34">
    <w:name w:val="1"/>
    <w:basedOn w:val="1"/>
    <w:autoRedefine/>
    <w:qFormat/>
    <w:uiPriority w:val="0"/>
    <w:pPr>
      <w:numPr>
        <w:ilvl w:val="0"/>
        <w:numId w:val="1"/>
      </w:numPr>
      <w:spacing w:line="360" w:lineRule="auto"/>
      <w:jc w:val="left"/>
    </w:pPr>
    <w:rPr>
      <w:rFonts w:ascii="宋体" w:hAnsi="宋体" w:eastAsia="宋体" w:cs="Times New Roman"/>
      <w:b/>
      <w:sz w:val="24"/>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15638</Words>
  <Characters>16547</Characters>
  <Lines>40</Lines>
  <Paragraphs>11</Paragraphs>
  <TotalTime>6</TotalTime>
  <ScaleCrop>false</ScaleCrop>
  <LinksUpToDate>false</LinksUpToDate>
  <CharactersWithSpaces>16918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2024-07-11T06:40:00Z</dcterms:created>
  <dc:creator>Administrator</dc:creator>
  <cp:lastModifiedBy>薛和煦的春风</cp:lastModifiedBy>
  <cp:lastPrinted>2024-01-23T01:24:00Z</cp:lastPrinted>
  <dcterms:modified xsi:type="dcterms:W3CDTF">2025-11-10T08:42:03Z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BA844B1002354F91A3B43D731AA45949_13</vt:lpwstr>
  </property>
  <property fmtid="{D5CDD505-2E9C-101B-9397-08002B2CF9AE}" pid="4" name="KSOTemplateDocerSaveRecord">
    <vt:lpwstr>eyJoZGlkIjoiYTVjYmQwZTMxNGEzMDQ3NzM2MTFhZmUyYWE0NDdhZGEiLCJ1c2VySWQiOiIxNjY0Nzk4MjIxIn0=</vt:lpwstr>
  </property>
</Properties>
</file>