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0230">
      <w:pPr>
        <w:adjustRightInd w:val="0"/>
        <w:snapToGrid w:val="0"/>
        <w:spacing w:line="360" w:lineRule="auto"/>
        <w:ind w:left="-840" w:leftChars="-400" w:firstLine="781" w:firstLineChars="279"/>
        <w:rPr>
          <w:rFonts w:ascii="仿宋" w:hAnsi="仿宋" w:eastAsia="仿宋" w:cs="仿宋"/>
          <w:sz w:val="28"/>
          <w:szCs w:val="28"/>
        </w:rPr>
      </w:pPr>
    </w:p>
    <w:p w14:paraId="62949ACA">
      <w:pPr>
        <w:adjustRightInd w:val="0"/>
        <w:snapToGrid w:val="0"/>
        <w:spacing w:line="360" w:lineRule="auto"/>
        <w:rPr>
          <w:rFonts w:ascii="仿宋" w:hAnsi="仿宋" w:eastAsia="仿宋" w:cs="仿宋"/>
          <w:sz w:val="28"/>
          <w:szCs w:val="28"/>
        </w:rPr>
      </w:pPr>
    </w:p>
    <w:p w14:paraId="6798B33F">
      <w:pPr>
        <w:adjustRightInd w:val="0"/>
        <w:snapToGrid w:val="0"/>
        <w:spacing w:beforeLines="169" w:line="360" w:lineRule="auto"/>
        <w:jc w:val="center"/>
        <w:rPr>
          <w:rFonts w:ascii="微软雅黑" w:hAnsi="微软雅黑" w:eastAsia="微软雅黑" w:cs="微软雅黑"/>
          <w:sz w:val="72"/>
          <w:szCs w:val="72"/>
        </w:rPr>
      </w:pPr>
      <w:r>
        <w:rPr>
          <w:rFonts w:hint="eastAsia" w:ascii="微软雅黑" w:hAnsi="微软雅黑" w:eastAsia="微软雅黑" w:cs="微软雅黑"/>
          <w:sz w:val="72"/>
          <w:szCs w:val="72"/>
        </w:rPr>
        <w:t>采购文件</w:t>
      </w:r>
    </w:p>
    <w:p w14:paraId="0832DEC8">
      <w:pPr>
        <w:adjustRightInd w:val="0"/>
        <w:snapToGrid w:val="0"/>
        <w:spacing w:line="360" w:lineRule="auto"/>
        <w:ind w:left="-840" w:leftChars="-400" w:firstLine="781" w:firstLineChars="279"/>
        <w:rPr>
          <w:rFonts w:ascii="仿宋" w:hAnsi="仿宋" w:eastAsia="仿宋" w:cs="仿宋"/>
          <w:sz w:val="28"/>
          <w:szCs w:val="28"/>
        </w:rPr>
      </w:pPr>
    </w:p>
    <w:p w14:paraId="65246161">
      <w:pPr>
        <w:adjustRightInd w:val="0"/>
        <w:snapToGrid w:val="0"/>
        <w:spacing w:line="360" w:lineRule="auto"/>
        <w:ind w:firstLine="560" w:firstLineChars="200"/>
        <w:rPr>
          <w:rFonts w:ascii="仿宋" w:hAnsi="仿宋" w:eastAsia="仿宋" w:cs="仿宋"/>
          <w:sz w:val="28"/>
          <w:szCs w:val="28"/>
        </w:rPr>
      </w:pPr>
    </w:p>
    <w:p w14:paraId="225615BF">
      <w:pPr>
        <w:adjustRightInd w:val="0"/>
        <w:snapToGrid w:val="0"/>
        <w:spacing w:line="360" w:lineRule="auto"/>
        <w:ind w:firstLine="560" w:firstLineChars="200"/>
        <w:rPr>
          <w:rFonts w:ascii="仿宋" w:hAnsi="仿宋" w:eastAsia="仿宋" w:cs="仿宋"/>
          <w:sz w:val="28"/>
          <w:szCs w:val="28"/>
        </w:rPr>
      </w:pPr>
    </w:p>
    <w:p w14:paraId="1936D767">
      <w:pPr>
        <w:adjustRightInd w:val="0"/>
        <w:snapToGrid w:val="0"/>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采 购 人：青岛碧海水务有限公司</w:t>
      </w:r>
    </w:p>
    <w:p w14:paraId="1CF5C3CC">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红石崖水厂伸缩缝及管道堵漏维修工程</w:t>
      </w:r>
    </w:p>
    <w:p w14:paraId="0D67146C">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CG2025056</w:t>
      </w:r>
    </w:p>
    <w:p w14:paraId="3FB44CDB">
      <w:pPr>
        <w:adjustRightInd w:val="0"/>
        <w:snapToGrid w:val="0"/>
        <w:spacing w:line="360" w:lineRule="auto"/>
        <w:ind w:firstLine="640" w:firstLineChars="200"/>
        <w:jc w:val="center"/>
        <w:rPr>
          <w:rFonts w:ascii="仿宋" w:hAnsi="仿宋" w:eastAsia="仿宋" w:cs="仿宋"/>
          <w:sz w:val="32"/>
          <w:szCs w:val="32"/>
        </w:rPr>
      </w:pPr>
    </w:p>
    <w:p w14:paraId="63DFD0AA">
      <w:pPr>
        <w:adjustRightInd w:val="0"/>
        <w:snapToGrid w:val="0"/>
        <w:spacing w:line="360" w:lineRule="auto"/>
        <w:ind w:firstLine="560" w:firstLineChars="200"/>
        <w:rPr>
          <w:rFonts w:ascii="仿宋" w:hAnsi="仿宋" w:eastAsia="仿宋" w:cs="仿宋"/>
          <w:sz w:val="28"/>
          <w:szCs w:val="28"/>
        </w:rPr>
      </w:pPr>
    </w:p>
    <w:p w14:paraId="6D5F40D1">
      <w:pPr>
        <w:adjustRightInd w:val="0"/>
        <w:snapToGrid w:val="0"/>
        <w:spacing w:line="360" w:lineRule="auto"/>
        <w:ind w:firstLine="560" w:firstLineChars="200"/>
        <w:rPr>
          <w:rFonts w:ascii="仿宋" w:hAnsi="仿宋" w:eastAsia="仿宋" w:cs="仿宋"/>
          <w:sz w:val="28"/>
          <w:szCs w:val="28"/>
        </w:rPr>
      </w:pPr>
    </w:p>
    <w:p w14:paraId="35B834E8">
      <w:pPr>
        <w:adjustRightInd w:val="0"/>
        <w:snapToGrid w:val="0"/>
        <w:spacing w:line="360" w:lineRule="auto"/>
        <w:ind w:firstLine="560" w:firstLineChars="200"/>
        <w:rPr>
          <w:rFonts w:ascii="仿宋" w:hAnsi="仿宋" w:eastAsia="仿宋" w:cs="仿宋"/>
          <w:sz w:val="28"/>
          <w:szCs w:val="28"/>
        </w:rPr>
      </w:pPr>
    </w:p>
    <w:p w14:paraId="565309BC">
      <w:pPr>
        <w:adjustRightInd w:val="0"/>
        <w:snapToGrid w:val="0"/>
        <w:spacing w:line="360" w:lineRule="auto"/>
        <w:ind w:firstLine="560" w:firstLineChars="200"/>
        <w:rPr>
          <w:rFonts w:ascii="仿宋" w:hAnsi="仿宋" w:eastAsia="仿宋" w:cs="仿宋"/>
          <w:sz w:val="28"/>
          <w:szCs w:val="28"/>
        </w:rPr>
      </w:pPr>
    </w:p>
    <w:p w14:paraId="46DD446D">
      <w:pPr>
        <w:adjustRightInd w:val="0"/>
        <w:snapToGrid w:val="0"/>
        <w:spacing w:line="360" w:lineRule="auto"/>
        <w:ind w:firstLine="560" w:firstLineChars="200"/>
        <w:rPr>
          <w:rFonts w:ascii="仿宋" w:hAnsi="仿宋" w:eastAsia="仿宋" w:cs="仿宋"/>
          <w:sz w:val="28"/>
          <w:szCs w:val="28"/>
        </w:rPr>
      </w:pPr>
    </w:p>
    <w:p w14:paraId="6E09E61B">
      <w:pPr>
        <w:adjustRightInd w:val="0"/>
        <w:snapToGrid w:val="0"/>
        <w:spacing w:line="360" w:lineRule="auto"/>
        <w:ind w:firstLine="560" w:firstLineChars="200"/>
        <w:rPr>
          <w:rFonts w:ascii="仿宋" w:hAnsi="仿宋" w:eastAsia="仿宋" w:cs="仿宋"/>
          <w:sz w:val="28"/>
          <w:szCs w:val="28"/>
        </w:rPr>
      </w:pPr>
    </w:p>
    <w:p w14:paraId="640D7ACC">
      <w:pPr>
        <w:adjustRightInd w:val="0"/>
        <w:snapToGrid w:val="0"/>
        <w:spacing w:line="360" w:lineRule="auto"/>
        <w:ind w:firstLine="560" w:firstLineChars="200"/>
        <w:rPr>
          <w:rFonts w:ascii="仿宋" w:hAnsi="仿宋" w:eastAsia="仿宋" w:cs="仿宋"/>
          <w:sz w:val="28"/>
          <w:szCs w:val="28"/>
        </w:rPr>
      </w:pPr>
    </w:p>
    <w:p w14:paraId="748E91A7">
      <w:pPr>
        <w:adjustRightInd w:val="0"/>
        <w:snapToGrid w:val="0"/>
        <w:spacing w:line="360" w:lineRule="auto"/>
        <w:ind w:firstLine="560" w:firstLineChars="200"/>
        <w:rPr>
          <w:rFonts w:ascii="仿宋" w:hAnsi="仿宋" w:eastAsia="仿宋" w:cs="仿宋"/>
          <w:sz w:val="28"/>
          <w:szCs w:val="28"/>
        </w:rPr>
      </w:pPr>
    </w:p>
    <w:p w14:paraId="7F3F3B12">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bookmarkStart w:id="0" w:name="_Toc291506254"/>
      <w:bookmarkStart w:id="1" w:name="_Toc23494"/>
    </w:p>
    <w:p w14:paraId="24F2DC5A">
      <w:pPr>
        <w:adjustRightInd w:val="0"/>
        <w:snapToGrid w:val="0"/>
        <w:spacing w:line="360" w:lineRule="auto"/>
        <w:jc w:val="both"/>
        <w:rPr>
          <w:rFonts w:ascii="仿宋" w:hAnsi="仿宋" w:eastAsia="仿宋" w:cs="仿宋"/>
          <w:sz w:val="28"/>
          <w:szCs w:val="28"/>
        </w:rPr>
      </w:pPr>
    </w:p>
    <w:p w14:paraId="210478F2">
      <w:pPr>
        <w:adjustRightInd w:val="0"/>
        <w:snapToGrid w:val="0"/>
        <w:spacing w:line="360" w:lineRule="auto"/>
        <w:ind w:firstLine="562" w:firstLineChars="200"/>
        <w:jc w:val="center"/>
        <w:rPr>
          <w:rFonts w:hint="eastAsia" w:ascii="仿宋" w:hAnsi="仿宋" w:eastAsia="仿宋" w:cs="仿宋"/>
          <w:b/>
          <w:bCs/>
          <w:sz w:val="28"/>
          <w:szCs w:val="28"/>
        </w:rPr>
      </w:pPr>
    </w:p>
    <w:p w14:paraId="00CFEA42">
      <w:pPr>
        <w:adjustRightInd w:val="0"/>
        <w:snapToGrid w:val="0"/>
        <w:spacing w:line="360" w:lineRule="auto"/>
        <w:ind w:firstLine="562" w:firstLineChars="200"/>
        <w:jc w:val="center"/>
        <w:rPr>
          <w:rFonts w:hint="eastAsia" w:ascii="仿宋" w:hAnsi="仿宋" w:eastAsia="仿宋" w:cs="仿宋"/>
          <w:b/>
          <w:bCs/>
          <w:sz w:val="28"/>
          <w:szCs w:val="28"/>
        </w:rPr>
      </w:pPr>
    </w:p>
    <w:p w14:paraId="605B1171">
      <w:pPr>
        <w:adjustRightInd w:val="0"/>
        <w:snapToGrid w:val="0"/>
        <w:spacing w:line="360" w:lineRule="auto"/>
        <w:ind w:firstLine="562" w:firstLineChars="200"/>
        <w:jc w:val="center"/>
        <w:rPr>
          <w:rFonts w:hint="eastAsia" w:ascii="仿宋" w:hAnsi="仿宋" w:eastAsia="仿宋" w:cs="仿宋"/>
          <w:b/>
          <w:bCs/>
          <w:sz w:val="28"/>
          <w:szCs w:val="28"/>
        </w:rPr>
      </w:pPr>
    </w:p>
    <w:p w14:paraId="5A703331">
      <w:pPr>
        <w:adjustRightInd w:val="0"/>
        <w:snapToGrid w:val="0"/>
        <w:spacing w:line="360" w:lineRule="auto"/>
        <w:ind w:firstLine="562" w:firstLineChars="200"/>
        <w:jc w:val="center"/>
        <w:rPr>
          <w:rFonts w:hint="eastAsia" w:ascii="仿宋" w:hAnsi="仿宋" w:eastAsia="仿宋" w:cs="仿宋"/>
          <w:b/>
          <w:bCs/>
          <w:sz w:val="28"/>
          <w:szCs w:val="28"/>
        </w:rPr>
      </w:pPr>
    </w:p>
    <w:p w14:paraId="78AE1A67">
      <w:pPr>
        <w:adjustRightInd w:val="0"/>
        <w:snapToGrid w:val="0"/>
        <w:spacing w:line="360" w:lineRule="auto"/>
        <w:ind w:firstLine="562" w:firstLineChars="200"/>
        <w:jc w:val="center"/>
        <w:rPr>
          <w:rFonts w:hint="eastAsia" w:ascii="仿宋" w:hAnsi="仿宋" w:eastAsia="仿宋" w:cs="仿宋"/>
          <w:b/>
          <w:bCs/>
          <w:sz w:val="28"/>
          <w:szCs w:val="28"/>
        </w:rPr>
      </w:pPr>
    </w:p>
    <w:p w14:paraId="2EA688ED">
      <w:pPr>
        <w:adjustRightInd w:val="0"/>
        <w:snapToGrid w:val="0"/>
        <w:spacing w:line="360" w:lineRule="auto"/>
        <w:ind w:firstLine="562" w:firstLineChars="200"/>
        <w:jc w:val="center"/>
        <w:rPr>
          <w:rFonts w:hint="eastAsia" w:ascii="仿宋" w:hAnsi="仿宋" w:eastAsia="仿宋" w:cs="仿宋"/>
          <w:b/>
          <w:bCs/>
          <w:sz w:val="28"/>
          <w:szCs w:val="28"/>
        </w:rPr>
      </w:pPr>
    </w:p>
    <w:p w14:paraId="1BF20509">
      <w:pPr>
        <w:adjustRightInd w:val="0"/>
        <w:snapToGrid w:val="0"/>
        <w:spacing w:line="360" w:lineRule="auto"/>
        <w:ind w:firstLine="562" w:firstLineChars="200"/>
        <w:jc w:val="center"/>
        <w:rPr>
          <w:rFonts w:ascii="仿宋" w:hAnsi="仿宋" w:eastAsia="仿宋" w:cs="仿宋"/>
          <w:sz w:val="28"/>
          <w:szCs w:val="28"/>
          <w:u w:val="single"/>
        </w:rPr>
      </w:pPr>
      <w:r>
        <w:rPr>
          <w:rFonts w:hint="eastAsia" w:ascii="仿宋" w:hAnsi="仿宋" w:eastAsia="仿宋" w:cs="仿宋"/>
          <w:b/>
          <w:bCs/>
          <w:sz w:val="28"/>
          <w:szCs w:val="28"/>
        </w:rPr>
        <w:t>第一章 询 价 函</w:t>
      </w:r>
    </w:p>
    <w:p w14:paraId="57B710DB">
      <w:pPr>
        <w:adjustRightInd w:val="0"/>
        <w:snapToGrid w:val="0"/>
        <w:spacing w:line="360" w:lineRule="auto"/>
        <w:ind w:firstLine="560" w:firstLineChars="200"/>
        <w:rPr>
          <w:rFonts w:hint="eastAsia" w:ascii="仿宋" w:hAnsi="仿宋" w:eastAsia="仿宋" w:cs="仿宋"/>
          <w:sz w:val="28"/>
          <w:szCs w:val="28"/>
        </w:rPr>
      </w:pPr>
    </w:p>
    <w:p w14:paraId="054F84F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28"/>
          <w:szCs w:val="28"/>
          <w:u w:val="single"/>
          <w:lang w:val="en-US" w:eastAsia="zh-CN"/>
        </w:rPr>
        <w:t>红石崖水厂伸缩缝及管道堵漏维修工程</w:t>
      </w:r>
      <w:r>
        <w:rPr>
          <w:rFonts w:hint="eastAsia" w:ascii="仿宋" w:hAnsi="仿宋" w:eastAsia="仿宋" w:cs="仿宋"/>
          <w:sz w:val="28"/>
          <w:szCs w:val="28"/>
          <w:u w:val="single"/>
        </w:rPr>
        <w:t>采购</w:t>
      </w:r>
      <w:r>
        <w:rPr>
          <w:rFonts w:hint="eastAsia" w:ascii="仿宋" w:hAnsi="仿宋" w:eastAsia="仿宋" w:cs="仿宋"/>
          <w:sz w:val="28"/>
          <w:szCs w:val="28"/>
        </w:rPr>
        <w:t>以询</w:t>
      </w:r>
      <w:r>
        <w:rPr>
          <w:rFonts w:hint="eastAsia" w:ascii="仿宋" w:hAnsi="仿宋" w:eastAsia="仿宋" w:cs="仿宋"/>
          <w:sz w:val="28"/>
          <w:szCs w:val="28"/>
          <w:lang w:val="en-US" w:eastAsia="zh-CN"/>
        </w:rPr>
        <w:t>比</w:t>
      </w:r>
      <w:r>
        <w:rPr>
          <w:rFonts w:hint="eastAsia" w:ascii="仿宋" w:hAnsi="仿宋" w:eastAsia="仿宋" w:cs="仿宋"/>
          <w:sz w:val="28"/>
          <w:szCs w:val="28"/>
        </w:rPr>
        <w:t>价方式组织采购，欢迎你单位参加报价。</w:t>
      </w:r>
    </w:p>
    <w:p w14:paraId="621E8B49">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红石崖水厂伸缩缝及管道堵漏维修工程</w:t>
      </w:r>
    </w:p>
    <w:p w14:paraId="33C628AB">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项目地点：青岛市</w:t>
      </w:r>
      <w:r>
        <w:rPr>
          <w:rFonts w:hint="eastAsia" w:ascii="仿宋" w:hAnsi="仿宋" w:eastAsia="仿宋" w:cs="仿宋"/>
          <w:sz w:val="28"/>
          <w:szCs w:val="28"/>
          <w:lang w:val="en-US" w:eastAsia="zh-CN"/>
        </w:rPr>
        <w:t>黄岛区</w:t>
      </w:r>
    </w:p>
    <w:p w14:paraId="099AB7A6">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采购方式：询</w:t>
      </w:r>
      <w:r>
        <w:rPr>
          <w:rFonts w:hint="eastAsia" w:ascii="仿宋" w:hAnsi="仿宋" w:eastAsia="仿宋" w:cs="仿宋"/>
          <w:sz w:val="28"/>
          <w:szCs w:val="28"/>
          <w:lang w:val="en-US" w:eastAsia="zh-CN"/>
        </w:rPr>
        <w:t>比</w:t>
      </w:r>
      <w:r>
        <w:rPr>
          <w:rFonts w:hint="eastAsia" w:ascii="仿宋" w:hAnsi="仿宋" w:eastAsia="仿宋" w:cs="仿宋"/>
          <w:sz w:val="28"/>
          <w:szCs w:val="28"/>
        </w:rPr>
        <w:t>价采购</w:t>
      </w:r>
    </w:p>
    <w:p w14:paraId="0572BCE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四、定标方式：满足全部询价条件且总报价最低者中标</w:t>
      </w:r>
    </w:p>
    <w:p w14:paraId="1E904AB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sz w:val="28"/>
          <w:szCs w:val="28"/>
        </w:rPr>
        <w:t>五、</w:t>
      </w:r>
      <w:r>
        <w:rPr>
          <w:rFonts w:hint="eastAsia" w:ascii="仿宋" w:hAnsi="仿宋" w:eastAsia="仿宋" w:cs="仿宋"/>
          <w:b w:val="0"/>
          <w:bCs w:val="0"/>
          <w:sz w:val="28"/>
          <w:szCs w:val="28"/>
          <w:highlight w:val="none"/>
          <w:lang w:val="en-US" w:eastAsia="zh-CN"/>
        </w:rPr>
        <w:t>主要合同条款</w:t>
      </w:r>
      <w:r>
        <w:rPr>
          <w:rFonts w:hint="eastAsia" w:ascii="仿宋" w:hAnsi="仿宋" w:eastAsia="仿宋" w:cs="仿宋"/>
          <w:b w:val="0"/>
          <w:bCs w:val="0"/>
          <w:sz w:val="28"/>
          <w:szCs w:val="28"/>
          <w:highlight w:val="none"/>
        </w:rPr>
        <w:t>：</w:t>
      </w:r>
    </w:p>
    <w:p w14:paraId="6C0BDBE8">
      <w:pPr>
        <w:keepNext w:val="0"/>
        <w:keepLines w:val="0"/>
        <w:widowControl/>
        <w:suppressLineNumbers w:val="0"/>
        <w:spacing w:line="240" w:lineRule="auto"/>
        <w:ind w:firstLine="482" w:firstLineChars="20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1、工程主要内容：红石崖水厂伸缩缝及进水管道根部维修，详细方案见“第四章 施工方案及控制价清单”</w:t>
      </w:r>
    </w:p>
    <w:p w14:paraId="0E45EFDF">
      <w:pPr>
        <w:keepNext w:val="0"/>
        <w:keepLines w:val="0"/>
        <w:widowControl/>
        <w:numPr>
          <w:ilvl w:val="0"/>
          <w:numId w:val="0"/>
        </w:numPr>
        <w:suppressLineNumbers w:val="0"/>
        <w:spacing w:line="240" w:lineRule="auto"/>
        <w:ind w:leftChars="20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w:t>
      </w:r>
    </w:p>
    <w:p w14:paraId="60161508">
      <w:pPr>
        <w:keepNext w:val="0"/>
        <w:keepLines w:val="0"/>
        <w:widowControl/>
        <w:numPr>
          <w:ilvl w:val="0"/>
          <w:numId w:val="0"/>
        </w:numPr>
        <w:suppressLineNumbers w:val="0"/>
        <w:spacing w:line="240" w:lineRule="auto"/>
        <w:ind w:firstLine="482" w:firstLineChars="200"/>
        <w:jc w:val="left"/>
        <w:textAlignment w:val="center"/>
        <w:rPr>
          <w:rFonts w:hint="eastAsia" w:ascii="仿宋" w:hAnsi="仿宋" w:eastAsia="仿宋" w:cs="仿宋"/>
          <w:w w:val="95"/>
          <w:sz w:val="24"/>
          <w:szCs w:val="24"/>
          <w:lang w:val="zh-CN" w:bidi="zh-CN"/>
        </w:rPr>
      </w:pPr>
      <w:r>
        <w:rPr>
          <w:rFonts w:hint="eastAsia" w:ascii="仿宋" w:hAnsi="仿宋" w:eastAsia="仿宋" w:cs="仿宋"/>
          <w:b/>
          <w:bCs/>
          <w:sz w:val="24"/>
          <w:szCs w:val="24"/>
          <w:highlight w:val="none"/>
          <w:lang w:val="en-US" w:eastAsia="zh-CN"/>
        </w:rPr>
        <w:t>2、工程控制总价为人民币35000元，</w:t>
      </w:r>
      <w:r>
        <w:rPr>
          <w:rFonts w:hint="eastAsia" w:ascii="仿宋" w:hAnsi="仿宋" w:eastAsia="仿宋" w:cs="仿宋"/>
          <w:b w:val="0"/>
          <w:bCs w:val="0"/>
          <w:sz w:val="24"/>
          <w:szCs w:val="24"/>
          <w:highlight w:val="none"/>
          <w:lang w:val="en-US" w:eastAsia="zh-CN"/>
        </w:rPr>
        <w:t>大写人民币叁万伍仟元整</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val="0"/>
          <w:bCs w:val="0"/>
          <w:sz w:val="24"/>
          <w:szCs w:val="24"/>
          <w:highlight w:val="none"/>
          <w:lang w:val="en-US" w:eastAsia="zh-CN"/>
        </w:rPr>
        <w:t>详细造价清单详见第四章。按照施工方案报价，投标报价所有单价必须低于控制单价，总报价必须低于控制总价。</w:t>
      </w:r>
      <w:r>
        <w:rPr>
          <w:rFonts w:hint="eastAsia" w:ascii="仿宋" w:hAnsi="仿宋" w:eastAsia="仿宋" w:cs="仿宋"/>
          <w:spacing w:val="-2"/>
          <w:sz w:val="24"/>
          <w:szCs w:val="24"/>
          <w:lang w:val="en-US" w:eastAsia="zh-CN"/>
        </w:rPr>
        <w:t>投标</w:t>
      </w:r>
      <w:r>
        <w:rPr>
          <w:rFonts w:hint="eastAsia" w:ascii="仿宋" w:hAnsi="仿宋" w:eastAsia="仿宋" w:cs="仿宋"/>
          <w:spacing w:val="-2"/>
          <w:sz w:val="24"/>
          <w:szCs w:val="24"/>
        </w:rPr>
        <w:t>报价包括但不限于此</w:t>
      </w:r>
      <w:r>
        <w:rPr>
          <w:rFonts w:hint="eastAsia" w:ascii="仿宋" w:hAnsi="仿宋" w:eastAsia="仿宋" w:cs="仿宋"/>
          <w:spacing w:val="-2"/>
          <w:sz w:val="24"/>
          <w:szCs w:val="24"/>
          <w:lang w:val="en-US" w:eastAsia="zh-CN"/>
        </w:rPr>
        <w:t>工程</w:t>
      </w:r>
      <w:r>
        <w:rPr>
          <w:rFonts w:hint="eastAsia" w:ascii="仿宋" w:hAnsi="仿宋" w:eastAsia="仿宋" w:cs="仿宋"/>
          <w:spacing w:val="-2"/>
          <w:sz w:val="24"/>
          <w:szCs w:val="24"/>
        </w:rPr>
        <w:t>的</w:t>
      </w:r>
      <w:r>
        <w:rPr>
          <w:rFonts w:hint="eastAsia" w:ascii="仿宋" w:hAnsi="仿宋" w:eastAsia="仿宋" w:cs="仿宋"/>
          <w:w w:val="95"/>
          <w:sz w:val="24"/>
          <w:szCs w:val="24"/>
          <w:lang w:val="zh-CN" w:bidi="zh-CN"/>
        </w:rPr>
        <w:t>材料费、人工费、管理费、保险、包装费、装卸费、运输费、税金、利润等，</w:t>
      </w:r>
      <w:r>
        <w:rPr>
          <w:rFonts w:hint="eastAsia" w:ascii="仿宋" w:hAnsi="仿宋" w:eastAsia="仿宋" w:cs="仿宋"/>
          <w:w w:val="95"/>
          <w:sz w:val="24"/>
          <w:szCs w:val="24"/>
          <w:lang w:val="en-US" w:bidi="zh-CN"/>
        </w:rPr>
        <w:t>发票类型为</w:t>
      </w:r>
      <w:r>
        <w:rPr>
          <w:rFonts w:hint="eastAsia" w:ascii="仿宋" w:hAnsi="仿宋" w:eastAsia="仿宋" w:cs="仿宋"/>
          <w:color w:val="E54C5E" w:themeColor="accent6"/>
          <w:w w:val="95"/>
          <w:sz w:val="24"/>
          <w:szCs w:val="24"/>
          <w:lang w:val="en-US" w:bidi="zh-CN"/>
          <w14:textFill>
            <w14:solidFill>
              <w14:schemeClr w14:val="accent6"/>
            </w14:solidFill>
          </w14:textFill>
        </w:rPr>
        <w:t>9%普通发票</w:t>
      </w:r>
      <w:r>
        <w:rPr>
          <w:rFonts w:hint="eastAsia" w:ascii="仿宋" w:hAnsi="仿宋" w:eastAsia="仿宋" w:cs="仿宋"/>
          <w:w w:val="95"/>
          <w:sz w:val="24"/>
          <w:szCs w:val="24"/>
          <w:lang w:val="zh-CN" w:bidi="zh-CN"/>
        </w:rPr>
        <w:t>。</w:t>
      </w:r>
    </w:p>
    <w:p w14:paraId="42EB4018">
      <w:pPr>
        <w:pStyle w:val="6"/>
        <w:numPr>
          <w:ilvl w:val="0"/>
          <w:numId w:val="0"/>
        </w:numPr>
        <w:spacing w:before="217" w:line="24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3、质保条件：质保期2年，预留3%质保金，质保期满后无质量问题一次性无息付清。</w:t>
      </w:r>
    </w:p>
    <w:p w14:paraId="08718875">
      <w:pPr>
        <w:topLinePunct/>
        <w:adjustRightInd w:val="0"/>
        <w:snapToGrid w:val="0"/>
        <w:spacing w:line="360" w:lineRule="auto"/>
        <w:ind w:firstLine="472" w:firstLineChars="200"/>
        <w:rPr>
          <w:rFonts w:hint="eastAsia" w:ascii="仿宋" w:hAnsi="仿宋" w:eastAsia="仿宋" w:cs="仿宋"/>
          <w:spacing w:val="-2"/>
          <w:sz w:val="24"/>
          <w:szCs w:val="24"/>
          <w:highlight w:val="yellow"/>
          <w:lang w:eastAsia="zh-CN"/>
        </w:rPr>
      </w:pPr>
      <w:r>
        <w:rPr>
          <w:rFonts w:hint="eastAsia" w:ascii="仿宋" w:hAnsi="仿宋" w:eastAsia="仿宋" w:cs="仿宋"/>
          <w:spacing w:val="-2"/>
          <w:sz w:val="24"/>
          <w:szCs w:val="24"/>
          <w:highlight w:val="none"/>
          <w:lang w:val="en-US" w:eastAsia="zh-CN"/>
        </w:rPr>
        <w:t>4、</w:t>
      </w:r>
      <w:r>
        <w:rPr>
          <w:rFonts w:hint="eastAsia" w:ascii="仿宋" w:hAnsi="仿宋" w:eastAsia="仿宋" w:cs="仿宋"/>
          <w:spacing w:val="-2"/>
          <w:sz w:val="24"/>
          <w:szCs w:val="24"/>
          <w:highlight w:val="none"/>
        </w:rPr>
        <w:t>付款条件</w:t>
      </w:r>
      <w:r>
        <w:rPr>
          <w:rFonts w:hint="eastAsia" w:ascii="仿宋" w:hAnsi="仿宋" w:eastAsia="仿宋" w:cs="仿宋"/>
          <w:spacing w:val="-2"/>
          <w:sz w:val="24"/>
          <w:szCs w:val="24"/>
          <w:highlight w:val="none"/>
          <w:lang w:val="en-US" w:eastAsia="zh-CN"/>
        </w:rPr>
        <w:t>及方式</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工程验收合格并完成结算审计后半年内付至审计值的97％，</w:t>
      </w:r>
      <w:r>
        <w:rPr>
          <w:rFonts w:hint="eastAsia" w:ascii="仿宋" w:hAnsi="仿宋" w:eastAsia="仿宋" w:cs="仿宋"/>
          <w:b w:val="0"/>
          <w:bCs w:val="0"/>
          <w:kern w:val="2"/>
          <w:sz w:val="24"/>
          <w:szCs w:val="24"/>
          <w:highlight w:val="none"/>
          <w:lang w:val="en-US" w:eastAsia="zh-CN" w:bidi="ar-SA"/>
        </w:rPr>
        <w:t>采购人以网银转账汇款、承兑汇票等方式向中标人支付费用</w:t>
      </w:r>
      <w:r>
        <w:rPr>
          <w:rFonts w:hint="eastAsia" w:ascii="仿宋" w:hAnsi="仿宋" w:eastAsia="仿宋" w:cs="仿宋"/>
          <w:spacing w:val="-2"/>
          <w:sz w:val="24"/>
          <w:szCs w:val="24"/>
          <w:highlight w:val="none"/>
          <w:lang w:val="en-US" w:eastAsia="zh-CN"/>
        </w:rPr>
        <w:t>，余3％在质保期满后无质量问题</w:t>
      </w:r>
      <w:r>
        <w:rPr>
          <w:rFonts w:hint="eastAsia" w:ascii="仿宋" w:hAnsi="仿宋" w:eastAsia="仿宋" w:cs="仿宋"/>
          <w:spacing w:val="-2"/>
          <w:sz w:val="24"/>
          <w:szCs w:val="24"/>
          <w:highlight w:val="none"/>
        </w:rPr>
        <w:t>一次性无息付清</w:t>
      </w:r>
      <w:r>
        <w:rPr>
          <w:rFonts w:hint="eastAsia" w:ascii="仿宋" w:hAnsi="仿宋" w:eastAsia="仿宋" w:cs="仿宋"/>
          <w:spacing w:val="-2"/>
          <w:sz w:val="24"/>
          <w:szCs w:val="24"/>
          <w:highlight w:val="none"/>
          <w:lang w:eastAsia="zh-CN"/>
        </w:rPr>
        <w:t>。</w:t>
      </w:r>
    </w:p>
    <w:p w14:paraId="3BC3E56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六、投标资质</w:t>
      </w:r>
    </w:p>
    <w:p w14:paraId="72E76F9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独立法人，经营正常，依法纳税，符合《中华人民共和国政府采购法》规定的供应商条件且具备相应设备生产资质或委托代理资质。投标供应商须提供以下资料，每项资料必须加盖公章：</w:t>
      </w:r>
    </w:p>
    <w:p w14:paraId="6D95C7E3">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营业执照副本复印件；</w:t>
      </w:r>
    </w:p>
    <w:p w14:paraId="5417C837">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缴纳税收证明资料（近一个月）完税证明或增值税申报表；</w:t>
      </w:r>
    </w:p>
    <w:p w14:paraId="5218BEDB">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上年度纳税信用等级B级（含）以上，新注册企业M级；</w:t>
      </w:r>
    </w:p>
    <w:p w14:paraId="0B14877A">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缴纳社会保险证明资料（近一个月）；</w:t>
      </w:r>
    </w:p>
    <w:p w14:paraId="6FD74DB0">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法定代表人身份证明或者法定代表人授权委托书；</w:t>
      </w:r>
    </w:p>
    <w:p w14:paraId="6C1B914F">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lang w:val="en-US" w:eastAsia="zh-CN"/>
        </w:rPr>
        <w:t>安全施工许可资质</w:t>
      </w:r>
      <w:r>
        <w:rPr>
          <w:rFonts w:hint="eastAsia" w:ascii="仿宋" w:hAnsi="仿宋" w:eastAsia="仿宋" w:cs="仿宋"/>
          <w:sz w:val="24"/>
          <w:szCs w:val="24"/>
        </w:rPr>
        <w:t>。</w:t>
      </w:r>
    </w:p>
    <w:p w14:paraId="25E837FF">
      <w:pPr>
        <w:numPr>
          <w:ilvl w:val="0"/>
          <w:numId w:val="3"/>
        </w:numPr>
        <w:adjustRightInd w:val="0"/>
        <w:snapToGrid w:val="0"/>
        <w:spacing w:line="360" w:lineRule="auto"/>
        <w:ind w:firstLine="560"/>
        <w:rPr>
          <w:rFonts w:hint="eastAsia" w:ascii="仿宋" w:hAnsi="仿宋" w:eastAsia="仿宋" w:cs="仿宋"/>
          <w:sz w:val="24"/>
          <w:szCs w:val="24"/>
        </w:rPr>
      </w:pPr>
      <w:r>
        <w:rPr>
          <w:rFonts w:hint="eastAsia" w:ascii="仿宋" w:hAnsi="仿宋" w:eastAsia="仿宋" w:cs="仿宋"/>
          <w:bCs/>
          <w:sz w:val="24"/>
          <w:szCs w:val="24"/>
        </w:rPr>
        <w:t>投标承诺函</w:t>
      </w:r>
    </w:p>
    <w:p w14:paraId="77E0B15E">
      <w:pPr>
        <w:numPr>
          <w:ilvl w:val="0"/>
          <w:numId w:val="3"/>
        </w:numPr>
        <w:adjustRightInd w:val="0"/>
        <w:snapToGrid w:val="0"/>
        <w:spacing w:line="360" w:lineRule="auto"/>
        <w:ind w:firstLine="560"/>
        <w:rPr>
          <w:rFonts w:ascii="仿宋" w:hAnsi="仿宋" w:eastAsia="仿宋" w:cs="仿宋"/>
          <w:color w:val="FF0000"/>
          <w:sz w:val="24"/>
          <w:szCs w:val="24"/>
        </w:rPr>
      </w:pPr>
      <w:r>
        <w:rPr>
          <w:rFonts w:hint="eastAsia" w:ascii="仿宋" w:hAnsi="仿宋" w:eastAsia="仿宋" w:cs="仿宋"/>
          <w:bCs/>
          <w:color w:val="FF0000"/>
          <w:sz w:val="24"/>
          <w:szCs w:val="24"/>
        </w:rPr>
        <w:t>参与项目的业绩明细</w:t>
      </w:r>
    </w:p>
    <w:p w14:paraId="151B920E">
      <w:pPr>
        <w:numPr>
          <w:ilvl w:val="0"/>
          <w:numId w:val="3"/>
        </w:numPr>
        <w:adjustRightInd w:val="0"/>
        <w:snapToGrid w:val="0"/>
        <w:spacing w:line="360" w:lineRule="auto"/>
        <w:ind w:firstLine="560"/>
        <w:rPr>
          <w:rFonts w:hint="eastAsia" w:ascii="仿宋" w:hAnsi="仿宋" w:eastAsia="仿宋" w:cs="仿宋"/>
          <w:bCs/>
          <w:color w:val="FF0000"/>
          <w:sz w:val="24"/>
          <w:szCs w:val="24"/>
        </w:rPr>
      </w:pPr>
      <w:r>
        <w:rPr>
          <w:rFonts w:hint="eastAsia" w:ascii="仿宋" w:hAnsi="仿宋" w:eastAsia="仿宋" w:cs="仿宋"/>
          <w:bCs/>
          <w:color w:val="FF0000"/>
          <w:sz w:val="24"/>
          <w:szCs w:val="24"/>
          <w:lang w:val="en-US" w:eastAsia="zh-CN"/>
        </w:rPr>
        <w:t>施工单位需为施工人员缴纳社会保险和人身意外险</w:t>
      </w:r>
    </w:p>
    <w:p w14:paraId="41C48672">
      <w:pPr>
        <w:numPr>
          <w:ilvl w:val="0"/>
          <w:numId w:val="4"/>
        </w:num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采购公告发布</w:t>
      </w:r>
      <w:r>
        <w:rPr>
          <w:rFonts w:hint="eastAsia" w:ascii="仿宋" w:hAnsi="仿宋" w:eastAsia="仿宋" w:cs="仿宋"/>
          <w:sz w:val="24"/>
          <w:szCs w:val="24"/>
        </w:rPr>
        <w:t>：由采购部门通过</w:t>
      </w:r>
      <w:r>
        <w:rPr>
          <w:rFonts w:hint="eastAsia" w:ascii="仿宋" w:hAnsi="仿宋" w:eastAsia="仿宋" w:cs="仿宋"/>
          <w:sz w:val="24"/>
          <w:szCs w:val="24"/>
          <w:lang w:val="en-US" w:eastAsia="zh-CN"/>
        </w:rPr>
        <w:t>公司网站发布</w:t>
      </w:r>
    </w:p>
    <w:p w14:paraId="7145C8D1">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投标规定</w:t>
      </w:r>
    </w:p>
    <w:p w14:paraId="44662F6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1、投标截止：投标文件必须在202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w:t>
      </w:r>
      <w:bookmarkStart w:id="89" w:name="_GoBack"/>
      <w:bookmarkEnd w:id="89"/>
      <w:r>
        <w:rPr>
          <w:rFonts w:hint="eastAsia" w:ascii="仿宋" w:hAnsi="仿宋" w:eastAsia="仿宋" w:cs="仿宋"/>
          <w:sz w:val="24"/>
          <w:szCs w:val="24"/>
        </w:rPr>
        <w:t>日前送达，超过截止时间的投标将被拒绝。</w:t>
      </w:r>
    </w:p>
    <w:p w14:paraId="30E47F45">
      <w:pPr>
        <w:numPr>
          <w:ilvl w:val="0"/>
          <w:numId w:val="4"/>
        </w:num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采购项目联系人姓名和电话：</w:t>
      </w:r>
    </w:p>
    <w:p w14:paraId="158D193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 购 人：青岛碧海水务有限公司</w:t>
      </w:r>
    </w:p>
    <w:p w14:paraId="1ED376A1">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薛煦</w:t>
      </w:r>
    </w:p>
    <w:p w14:paraId="67D8871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17657151567</w:t>
      </w:r>
      <w:r>
        <w:rPr>
          <w:rFonts w:hint="eastAsia" w:ascii="仿宋" w:hAnsi="仿宋" w:eastAsia="仿宋" w:cs="仿宋"/>
          <w:sz w:val="24"/>
          <w:szCs w:val="24"/>
        </w:rPr>
        <w:t xml:space="preserve"> </w:t>
      </w:r>
    </w:p>
    <w:p w14:paraId="06C9627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址：青岛市黄岛区淮河西路167号</w:t>
      </w:r>
    </w:p>
    <w:p w14:paraId="2A6185CF">
      <w:pPr>
        <w:adjustRightInd w:val="0"/>
        <w:snapToGrid w:val="0"/>
        <w:spacing w:line="360" w:lineRule="auto"/>
        <w:ind w:firstLine="560" w:firstLineChars="200"/>
        <w:rPr>
          <w:rFonts w:ascii="仿宋" w:hAnsi="仿宋" w:eastAsia="仿宋" w:cs="仿宋"/>
          <w:sz w:val="28"/>
          <w:szCs w:val="28"/>
        </w:rPr>
      </w:pPr>
    </w:p>
    <w:p w14:paraId="464403F5">
      <w:pPr>
        <w:adjustRightInd w:val="0"/>
        <w:snapToGrid w:val="0"/>
        <w:spacing w:line="360" w:lineRule="auto"/>
        <w:rPr>
          <w:rFonts w:ascii="仿宋" w:hAnsi="仿宋" w:eastAsia="仿宋" w:cs="仿宋"/>
          <w:sz w:val="24"/>
        </w:rPr>
      </w:pPr>
    </w:p>
    <w:p w14:paraId="1C23C249">
      <w:pPr>
        <w:adjustRightInd w:val="0"/>
        <w:snapToGrid w:val="0"/>
        <w:spacing w:line="360" w:lineRule="auto"/>
        <w:rPr>
          <w:rFonts w:ascii="仿宋" w:hAnsi="仿宋" w:eastAsia="仿宋" w:cs="仿宋"/>
          <w:sz w:val="24"/>
        </w:rPr>
      </w:pPr>
    </w:p>
    <w:p w14:paraId="73334756">
      <w:pPr>
        <w:adjustRightInd w:val="0"/>
        <w:snapToGrid w:val="0"/>
        <w:spacing w:line="360" w:lineRule="auto"/>
        <w:rPr>
          <w:rFonts w:ascii="仿宋" w:hAnsi="仿宋" w:eastAsia="仿宋" w:cs="仿宋"/>
          <w:sz w:val="24"/>
        </w:rPr>
      </w:pPr>
    </w:p>
    <w:p w14:paraId="4B5AE7D6">
      <w:pPr>
        <w:adjustRightInd w:val="0"/>
        <w:snapToGrid w:val="0"/>
        <w:spacing w:line="360" w:lineRule="auto"/>
        <w:rPr>
          <w:rFonts w:ascii="仿宋" w:hAnsi="仿宋" w:eastAsia="仿宋" w:cs="仿宋"/>
          <w:sz w:val="24"/>
        </w:rPr>
      </w:pPr>
    </w:p>
    <w:p w14:paraId="67BF18D7">
      <w:pPr>
        <w:adjustRightInd w:val="0"/>
        <w:snapToGrid w:val="0"/>
        <w:spacing w:line="360" w:lineRule="auto"/>
        <w:rPr>
          <w:rFonts w:ascii="仿宋" w:hAnsi="仿宋" w:eastAsia="仿宋" w:cs="仿宋"/>
          <w:sz w:val="24"/>
        </w:rPr>
      </w:pPr>
    </w:p>
    <w:p w14:paraId="36000889">
      <w:pPr>
        <w:adjustRightInd w:val="0"/>
        <w:snapToGrid w:val="0"/>
        <w:spacing w:line="360" w:lineRule="auto"/>
        <w:rPr>
          <w:rFonts w:ascii="仿宋" w:hAnsi="仿宋" w:eastAsia="仿宋" w:cs="仿宋"/>
          <w:sz w:val="24"/>
        </w:rPr>
      </w:pPr>
    </w:p>
    <w:p w14:paraId="31DCDC65">
      <w:pPr>
        <w:adjustRightInd w:val="0"/>
        <w:snapToGrid w:val="0"/>
        <w:spacing w:line="360" w:lineRule="auto"/>
        <w:rPr>
          <w:rFonts w:ascii="仿宋" w:hAnsi="仿宋" w:eastAsia="仿宋" w:cs="仿宋"/>
          <w:sz w:val="24"/>
        </w:rPr>
      </w:pPr>
    </w:p>
    <w:p w14:paraId="3017FBE7">
      <w:pPr>
        <w:adjustRightInd w:val="0"/>
        <w:snapToGrid w:val="0"/>
        <w:spacing w:line="360" w:lineRule="auto"/>
        <w:rPr>
          <w:rFonts w:ascii="仿宋" w:hAnsi="仿宋" w:eastAsia="仿宋" w:cs="仿宋"/>
          <w:sz w:val="24"/>
        </w:rPr>
      </w:pPr>
    </w:p>
    <w:p w14:paraId="57975022">
      <w:pPr>
        <w:adjustRightInd w:val="0"/>
        <w:snapToGrid w:val="0"/>
        <w:spacing w:line="360" w:lineRule="auto"/>
        <w:rPr>
          <w:rFonts w:ascii="仿宋" w:hAnsi="仿宋" w:eastAsia="仿宋" w:cs="仿宋"/>
          <w:sz w:val="24"/>
        </w:rPr>
      </w:pPr>
    </w:p>
    <w:p w14:paraId="52686E18">
      <w:pPr>
        <w:adjustRightInd w:val="0"/>
        <w:snapToGrid w:val="0"/>
        <w:spacing w:line="360" w:lineRule="auto"/>
        <w:rPr>
          <w:rFonts w:ascii="仿宋" w:hAnsi="仿宋" w:eastAsia="仿宋" w:cs="仿宋"/>
          <w:sz w:val="24"/>
        </w:rPr>
      </w:pPr>
    </w:p>
    <w:p w14:paraId="348854E4">
      <w:pPr>
        <w:adjustRightInd w:val="0"/>
        <w:snapToGrid w:val="0"/>
        <w:spacing w:line="360" w:lineRule="auto"/>
        <w:rPr>
          <w:rFonts w:ascii="仿宋" w:hAnsi="仿宋" w:eastAsia="仿宋" w:cs="仿宋"/>
          <w:sz w:val="24"/>
        </w:rPr>
      </w:pPr>
    </w:p>
    <w:p w14:paraId="425B5AA2">
      <w:pPr>
        <w:adjustRightInd w:val="0"/>
        <w:snapToGrid w:val="0"/>
        <w:spacing w:line="360" w:lineRule="auto"/>
        <w:rPr>
          <w:rFonts w:ascii="仿宋" w:hAnsi="仿宋" w:eastAsia="仿宋" w:cs="仿宋"/>
          <w:sz w:val="24"/>
        </w:rPr>
      </w:pPr>
    </w:p>
    <w:p w14:paraId="3B3A95CD">
      <w:pPr>
        <w:adjustRightInd w:val="0"/>
        <w:snapToGrid w:val="0"/>
        <w:spacing w:line="360" w:lineRule="auto"/>
        <w:rPr>
          <w:rFonts w:ascii="仿宋" w:hAnsi="仿宋" w:eastAsia="仿宋" w:cs="仿宋"/>
          <w:sz w:val="24"/>
        </w:rPr>
      </w:pPr>
    </w:p>
    <w:p w14:paraId="130937FB">
      <w:pPr>
        <w:adjustRightInd w:val="0"/>
        <w:snapToGrid w:val="0"/>
        <w:spacing w:line="360" w:lineRule="auto"/>
        <w:rPr>
          <w:rFonts w:ascii="仿宋" w:hAnsi="仿宋" w:eastAsia="仿宋" w:cs="仿宋"/>
          <w:sz w:val="24"/>
        </w:rPr>
      </w:pPr>
    </w:p>
    <w:p w14:paraId="5FB048A6">
      <w:pPr>
        <w:adjustRightInd w:val="0"/>
        <w:snapToGrid w:val="0"/>
        <w:spacing w:line="360" w:lineRule="auto"/>
        <w:rPr>
          <w:rFonts w:ascii="仿宋" w:hAnsi="仿宋" w:eastAsia="仿宋" w:cs="仿宋"/>
          <w:sz w:val="24"/>
        </w:rPr>
      </w:pPr>
    </w:p>
    <w:p w14:paraId="799D39CF">
      <w:pPr>
        <w:adjustRightInd w:val="0"/>
        <w:snapToGrid w:val="0"/>
        <w:spacing w:line="360" w:lineRule="auto"/>
        <w:rPr>
          <w:rFonts w:ascii="仿宋" w:hAnsi="仿宋" w:eastAsia="仿宋" w:cs="仿宋"/>
          <w:sz w:val="24"/>
        </w:rPr>
      </w:pPr>
    </w:p>
    <w:p w14:paraId="7A74ECEF">
      <w:pPr>
        <w:adjustRightInd w:val="0"/>
        <w:snapToGrid w:val="0"/>
        <w:spacing w:line="360" w:lineRule="auto"/>
        <w:rPr>
          <w:rFonts w:ascii="仿宋" w:hAnsi="仿宋" w:eastAsia="仿宋" w:cs="仿宋"/>
          <w:sz w:val="24"/>
        </w:rPr>
      </w:pPr>
    </w:p>
    <w:p w14:paraId="1017A936">
      <w:pPr>
        <w:adjustRightInd w:val="0"/>
        <w:snapToGrid w:val="0"/>
        <w:spacing w:line="360" w:lineRule="auto"/>
        <w:rPr>
          <w:rFonts w:ascii="仿宋" w:hAnsi="仿宋" w:eastAsia="仿宋" w:cs="仿宋"/>
          <w:sz w:val="24"/>
        </w:rPr>
      </w:pPr>
    </w:p>
    <w:p w14:paraId="17FFFB4C">
      <w:pPr>
        <w:adjustRightInd w:val="0"/>
        <w:snapToGrid w:val="0"/>
        <w:spacing w:line="360" w:lineRule="auto"/>
        <w:ind w:firstLine="480" w:firstLineChars="200"/>
        <w:rPr>
          <w:rFonts w:ascii="仿宋" w:hAnsi="仿宋" w:eastAsia="仿宋" w:cs="仿宋"/>
          <w:sz w:val="24"/>
        </w:rPr>
      </w:pPr>
    </w:p>
    <w:p w14:paraId="5B151AB6">
      <w:pPr>
        <w:adjustRightInd w:val="0"/>
        <w:snapToGrid w:val="0"/>
        <w:spacing w:line="360" w:lineRule="auto"/>
        <w:ind w:firstLine="480" w:firstLineChars="200"/>
        <w:rPr>
          <w:rFonts w:ascii="仿宋" w:hAnsi="仿宋" w:eastAsia="仿宋" w:cs="仿宋"/>
          <w:sz w:val="24"/>
        </w:rPr>
      </w:pPr>
    </w:p>
    <w:p w14:paraId="55641127">
      <w:pPr>
        <w:adjustRightInd w:val="0"/>
        <w:snapToGrid w:val="0"/>
        <w:spacing w:line="360" w:lineRule="auto"/>
        <w:ind w:firstLine="480" w:firstLineChars="200"/>
        <w:rPr>
          <w:rFonts w:ascii="仿宋" w:hAnsi="仿宋" w:eastAsia="仿宋" w:cs="仿宋"/>
          <w:sz w:val="24"/>
        </w:rPr>
      </w:pPr>
    </w:p>
    <w:p w14:paraId="18C9CE20">
      <w:pPr>
        <w:adjustRightInd w:val="0"/>
        <w:snapToGrid w:val="0"/>
        <w:spacing w:line="360" w:lineRule="auto"/>
        <w:ind w:firstLine="480" w:firstLineChars="200"/>
        <w:rPr>
          <w:rFonts w:ascii="仿宋" w:hAnsi="仿宋" w:eastAsia="仿宋" w:cs="仿宋"/>
          <w:sz w:val="24"/>
        </w:rPr>
      </w:pPr>
    </w:p>
    <w:p w14:paraId="74628881">
      <w:pPr>
        <w:adjustRightInd w:val="0"/>
        <w:snapToGrid w:val="0"/>
        <w:spacing w:line="360" w:lineRule="auto"/>
        <w:ind w:firstLine="480" w:firstLineChars="200"/>
        <w:rPr>
          <w:rFonts w:ascii="仿宋" w:hAnsi="仿宋" w:eastAsia="仿宋" w:cs="仿宋"/>
          <w:sz w:val="24"/>
        </w:rPr>
      </w:pPr>
    </w:p>
    <w:p w14:paraId="5394ABA3">
      <w:pPr>
        <w:adjustRightInd w:val="0"/>
        <w:snapToGrid w:val="0"/>
        <w:spacing w:line="360" w:lineRule="auto"/>
        <w:ind w:firstLine="480" w:firstLineChars="200"/>
        <w:rPr>
          <w:rFonts w:ascii="仿宋" w:hAnsi="仿宋" w:eastAsia="仿宋" w:cs="仿宋"/>
          <w:sz w:val="24"/>
        </w:rPr>
      </w:pPr>
    </w:p>
    <w:p w14:paraId="35BBBC16">
      <w:pPr>
        <w:adjustRightInd w:val="0"/>
        <w:snapToGrid w:val="0"/>
        <w:spacing w:line="360" w:lineRule="auto"/>
        <w:ind w:firstLine="480" w:firstLineChars="200"/>
        <w:rPr>
          <w:rFonts w:ascii="仿宋" w:hAnsi="仿宋" w:eastAsia="仿宋" w:cs="仿宋"/>
          <w:sz w:val="24"/>
        </w:rPr>
      </w:pPr>
    </w:p>
    <w:p w14:paraId="65C29F7C">
      <w:pPr>
        <w:adjustRightInd w:val="0"/>
        <w:snapToGrid w:val="0"/>
        <w:spacing w:line="360" w:lineRule="auto"/>
        <w:ind w:firstLine="480" w:firstLineChars="200"/>
        <w:rPr>
          <w:rFonts w:ascii="仿宋" w:hAnsi="仿宋" w:eastAsia="仿宋" w:cs="仿宋"/>
          <w:sz w:val="24"/>
        </w:rPr>
      </w:pPr>
    </w:p>
    <w:p w14:paraId="00F117C1">
      <w:pPr>
        <w:adjustRightInd w:val="0"/>
        <w:snapToGrid w:val="0"/>
        <w:spacing w:line="360" w:lineRule="auto"/>
        <w:ind w:firstLine="480" w:firstLineChars="200"/>
        <w:rPr>
          <w:rFonts w:ascii="仿宋" w:hAnsi="仿宋" w:eastAsia="仿宋" w:cs="仿宋"/>
          <w:sz w:val="24"/>
        </w:rPr>
      </w:pPr>
    </w:p>
    <w:p w14:paraId="37134EC6">
      <w:pPr>
        <w:adjustRightInd w:val="0"/>
        <w:snapToGrid w:val="0"/>
        <w:spacing w:line="360" w:lineRule="auto"/>
        <w:ind w:firstLine="480" w:firstLineChars="200"/>
        <w:rPr>
          <w:rFonts w:ascii="仿宋" w:hAnsi="仿宋" w:eastAsia="仿宋" w:cs="仿宋"/>
          <w:sz w:val="24"/>
        </w:rPr>
      </w:pPr>
    </w:p>
    <w:p w14:paraId="5BF73C53">
      <w:pPr>
        <w:adjustRightInd w:val="0"/>
        <w:snapToGrid w:val="0"/>
        <w:spacing w:line="360" w:lineRule="auto"/>
        <w:ind w:firstLine="480" w:firstLineChars="200"/>
        <w:rPr>
          <w:rFonts w:ascii="仿宋" w:hAnsi="仿宋" w:eastAsia="仿宋" w:cs="仿宋"/>
          <w:sz w:val="24"/>
        </w:rPr>
      </w:pPr>
    </w:p>
    <w:p w14:paraId="08FDA760">
      <w:pPr>
        <w:adjustRightInd w:val="0"/>
        <w:snapToGrid w:val="0"/>
        <w:spacing w:line="360" w:lineRule="auto"/>
        <w:ind w:firstLine="480" w:firstLineChars="200"/>
        <w:rPr>
          <w:rFonts w:ascii="仿宋" w:hAnsi="仿宋" w:eastAsia="仿宋" w:cs="仿宋"/>
          <w:sz w:val="24"/>
        </w:rPr>
      </w:pPr>
    </w:p>
    <w:p w14:paraId="23829C96">
      <w:pPr>
        <w:numPr>
          <w:ilvl w:val="0"/>
          <w:numId w:val="5"/>
        </w:numPr>
        <w:adjustRightInd w:val="0"/>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投标须知</w:t>
      </w:r>
      <w:bookmarkEnd w:id="0"/>
      <w:bookmarkEnd w:id="1"/>
      <w:bookmarkStart w:id="2" w:name="_Toc227423102"/>
      <w:bookmarkStart w:id="3" w:name="_Toc24773"/>
      <w:bookmarkStart w:id="4" w:name="_Toc291506255"/>
    </w:p>
    <w:p w14:paraId="69933F1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一、说明</w:t>
      </w:r>
      <w:bookmarkEnd w:id="2"/>
      <w:bookmarkEnd w:id="3"/>
      <w:bookmarkEnd w:id="4"/>
    </w:p>
    <w:p w14:paraId="0A191BB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（一）适用范围：本文件仅适用于本投标邀请中所述的采购项目。</w:t>
      </w:r>
    </w:p>
    <w:p w14:paraId="57ADB9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（二）定义</w:t>
      </w:r>
    </w:p>
    <w:p w14:paraId="6E7A119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1.“采购人”系指青岛碧海水务有限公司。</w:t>
      </w:r>
    </w:p>
    <w:p w14:paraId="53B53A2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2.“投标人”系指向采购人提交投标文件的供应商。</w:t>
      </w:r>
    </w:p>
    <w:p w14:paraId="3BA3B8E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3.“中标人”系指被确定为承接本项目并负责其实施的投标人。</w:t>
      </w:r>
    </w:p>
    <w:p w14:paraId="2971513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（三）投标人应具备的条件</w:t>
      </w:r>
    </w:p>
    <w:p w14:paraId="1E47407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1.满足询价邀请中的资质规定。</w:t>
      </w:r>
    </w:p>
    <w:p w14:paraId="546A79F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2.投标工程/服务符合国家规定的技术标准和环保标准。</w:t>
      </w:r>
    </w:p>
    <w:p w14:paraId="5C63E78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3.满足本文件规定的要求。</w:t>
      </w:r>
    </w:p>
    <w:p w14:paraId="72F57F2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（四）联合体投标：本项目不接受联合体投标。</w:t>
      </w:r>
    </w:p>
    <w:p w14:paraId="6BDEAA3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（五）投标有效期：从开标之日起，投标文件有效期为60天。投标有效期不足的，其投标无效。</w:t>
      </w:r>
    </w:p>
    <w:p w14:paraId="0310A11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（六）本文件的澄清、修改</w:t>
      </w:r>
    </w:p>
    <w:p w14:paraId="511203A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1.投标人收到本文件时，应进行检查；如认为采购文件存在不合理条款，公告时间及程序不符合规定的，应及时告知采购人澄清或处理。否则，由投标人自行承担所造成的不良后果。</w:t>
      </w:r>
    </w:p>
    <w:p w14:paraId="4087F38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2.根据投标人提出的问题，采购人确定是否需统一召开标前踏勘及答疑会；如统一召开，将通知所有被邀请的投标人参加。</w:t>
      </w:r>
    </w:p>
    <w:p w14:paraId="01C9CCB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3.采购人对本文件进行必要澄清或修改的，应当在投标截止时间前，并以书面形式通知所有被邀请的供应商。该澄清或修改的内容为本文件的组成部分。</w:t>
      </w:r>
    </w:p>
    <w:p w14:paraId="3F56443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（七）投标费用：无论投标结果如何，投标人自行承担所有与投标有关的全部费用。</w:t>
      </w:r>
    </w:p>
    <w:p w14:paraId="7935B797">
      <w:pPr>
        <w:adjustRightInd w:val="0"/>
        <w:snapToGrid w:val="0"/>
        <w:spacing w:line="360" w:lineRule="auto"/>
        <w:ind w:firstLine="480" w:firstLineChars="200"/>
        <w:rPr>
          <w:rFonts w:ascii="仿宋" w:hAnsi="仿宋" w:eastAsia="仿宋" w:cs="仿宋"/>
          <w:sz w:val="24"/>
          <w:szCs w:val="24"/>
        </w:rPr>
      </w:pPr>
      <w:bookmarkStart w:id="5" w:name="_Toc291506256"/>
      <w:bookmarkStart w:id="6" w:name="_Toc227423103"/>
      <w:bookmarkStart w:id="7" w:name="_Toc14721"/>
      <w:r>
        <w:rPr>
          <w:rFonts w:hint="eastAsia" w:ascii="仿宋" w:hAnsi="仿宋" w:eastAsia="仿宋" w:cs="仿宋"/>
          <w:sz w:val="24"/>
          <w:szCs w:val="24"/>
        </w:rPr>
        <w:t>二、投标文件的编写</w:t>
      </w:r>
      <w:bookmarkEnd w:id="5"/>
      <w:bookmarkEnd w:id="6"/>
      <w:bookmarkEnd w:id="7"/>
    </w:p>
    <w:p w14:paraId="5C4A026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（一）一般要求</w:t>
      </w:r>
    </w:p>
    <w:p w14:paraId="0262C78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1.投标人应仔细阅读本文件的所有内容，按本文件的要求编制投标文件，并保证所提供的全部资料真实有效。</w:t>
      </w:r>
    </w:p>
    <w:p w14:paraId="3B5A1F0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2.投标文件的书面内容不得有加行、涂抹或改写。</w:t>
      </w:r>
    </w:p>
    <w:p w14:paraId="369A69E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3.投标文件应当采用书面方式；招标采购单位不接受电报、电话、传真投标。</w:t>
      </w:r>
    </w:p>
    <w:p w14:paraId="11412CE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（二）投标文件的组成</w:t>
      </w:r>
    </w:p>
    <w:p w14:paraId="0A3A36C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1.投标文件应包括的内容详见本文件“第</w:t>
      </w:r>
      <w:r>
        <w:rPr>
          <w:rFonts w:hint="eastAsia" w:ascii="仿宋" w:hAnsi="仿宋" w:eastAsia="仿宋" w:cs="仿宋"/>
          <w:sz w:val="24"/>
          <w:szCs w:val="24"/>
          <w:lang w:val="en-US" w:eastAsia="zh-CN"/>
        </w:rPr>
        <w:t>五</w:t>
      </w:r>
      <w:r>
        <w:rPr>
          <w:rFonts w:hint="eastAsia" w:ascii="仿宋" w:hAnsi="仿宋" w:eastAsia="仿宋" w:cs="仿宋"/>
          <w:sz w:val="24"/>
          <w:szCs w:val="24"/>
        </w:rPr>
        <w:t>章投标文件编制”。</w:t>
      </w:r>
    </w:p>
    <w:p w14:paraId="2A9D7F9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2.除本文件另有规定外，计量单位为我国法定计量单位。</w:t>
      </w:r>
    </w:p>
    <w:p w14:paraId="1BDF90D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（三）投标报价</w:t>
      </w:r>
    </w:p>
    <w:p w14:paraId="62FEE8C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1.投标人应按本文件提出的采购范围、内容及要求进行报价。</w:t>
      </w:r>
    </w:p>
    <w:p w14:paraId="6E5EC56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2.除本文件另有规定外，投标报价为含税价（增值税普通发票）。</w:t>
      </w:r>
    </w:p>
    <w:p w14:paraId="71575DBD">
      <w:pPr>
        <w:adjustRightInd w:val="0"/>
        <w:snapToGrid w:val="0"/>
        <w:spacing w:line="360" w:lineRule="auto"/>
        <w:ind w:firstLine="480" w:firstLineChars="200"/>
        <w:rPr>
          <w:rFonts w:ascii="仿宋" w:hAnsi="仿宋" w:eastAsia="仿宋" w:cs="仿宋"/>
          <w:sz w:val="24"/>
          <w:szCs w:val="24"/>
        </w:rPr>
      </w:pPr>
      <w:bookmarkStart w:id="8" w:name="_Toc227423920"/>
      <w:bookmarkStart w:id="9" w:name="_Toc15890"/>
      <w:bookmarkStart w:id="10" w:name="_Toc291506257"/>
      <w:r>
        <w:rPr>
          <w:rFonts w:hint="eastAsia" w:ascii="仿宋" w:hAnsi="仿宋" w:eastAsia="仿宋" w:cs="仿宋"/>
          <w:sz w:val="24"/>
          <w:szCs w:val="24"/>
        </w:rPr>
        <w:t>三、投标文件的递交</w:t>
      </w:r>
      <w:bookmarkEnd w:id="8"/>
      <w:bookmarkEnd w:id="9"/>
      <w:bookmarkEnd w:id="10"/>
    </w:p>
    <w:p w14:paraId="24DA25F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1.投标文件的送达：投标文件应在投标截止时间前送达采购单位。</w:t>
      </w:r>
    </w:p>
    <w:p w14:paraId="001F3D5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2.投标截止时间前，投标人可对所递交的投标文件进行补充、修改或撤回。</w:t>
      </w:r>
    </w:p>
    <w:p w14:paraId="14FA521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3.投标人补充、修改或撤回时，须向招标采购单位出示加盖公章、经法人代表或授权代表（需出示有关证明）签字的函件。</w:t>
      </w:r>
    </w:p>
    <w:p w14:paraId="324B50E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4.补充、修改的内容应当按照本文件的规定签署盖章，并密封。</w:t>
      </w:r>
    </w:p>
    <w:p w14:paraId="7C35A94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5.补充、修改文件是投标文件的组成部分。</w:t>
      </w:r>
    </w:p>
    <w:p w14:paraId="3730809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6.投标截止后，投标人不得补充、修改或撤回投标文件；但可以在开标前出示加盖公章、经法人代表或授权代表（需出示有关证明）签字的函件通知放弃投标。</w:t>
      </w:r>
    </w:p>
    <w:p w14:paraId="1D8D1D0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四、采购人成立采购评审小组独立履行下列职责：</w:t>
      </w:r>
    </w:p>
    <w:p w14:paraId="4CC6372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（一）审查投标文件是否符合本采购文件要求；</w:t>
      </w:r>
    </w:p>
    <w:p w14:paraId="1E520A96">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（二）确定中标供应商。</w:t>
      </w:r>
    </w:p>
    <w:p w14:paraId="10C7B957">
      <w:pPr>
        <w:adjustRightInd w:val="0"/>
        <w:snapToGrid w:val="0"/>
        <w:spacing w:line="360" w:lineRule="auto"/>
        <w:ind w:firstLine="415" w:firstLineChars="173"/>
        <w:rPr>
          <w:rFonts w:ascii="仿宋" w:hAnsi="仿宋" w:eastAsia="仿宋" w:cs="仿宋"/>
          <w:sz w:val="24"/>
          <w:szCs w:val="24"/>
        </w:rPr>
      </w:pPr>
      <w:r>
        <w:rPr>
          <w:rFonts w:hint="eastAsia" w:ascii="仿宋" w:hAnsi="仿宋" w:eastAsia="仿宋" w:cs="仿宋"/>
          <w:sz w:val="24"/>
          <w:szCs w:val="24"/>
        </w:rPr>
        <w:t>五、投标人有下列情形之一的，视为无效投标。</w:t>
      </w:r>
    </w:p>
    <w:p w14:paraId="331A51E0">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（一）超出营业执照经营范围投标的；</w:t>
      </w:r>
    </w:p>
    <w:p w14:paraId="262D660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（二）投标文件不符合采购文件要求的；</w:t>
      </w:r>
    </w:p>
    <w:p w14:paraId="39FF1A36">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（三）投标文件与事实不符的；</w:t>
      </w:r>
    </w:p>
    <w:p w14:paraId="209DA34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（四）经采购评审小组一致认定为重大偏离的；</w:t>
      </w:r>
    </w:p>
    <w:p w14:paraId="46C4BA13">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（五）不符合法律、法规有关规定的。</w:t>
      </w:r>
      <w:r>
        <w:rPr>
          <w:rFonts w:hint="eastAsia" w:ascii="仿宋" w:hAnsi="仿宋" w:eastAsia="仿宋" w:cs="仿宋"/>
          <w:sz w:val="24"/>
          <w:szCs w:val="24"/>
        </w:rPr>
        <w:tab/>
      </w:r>
    </w:p>
    <w:p w14:paraId="4D947FE2">
      <w:pPr>
        <w:adjustRightInd w:val="0"/>
        <w:snapToGrid w:val="0"/>
        <w:spacing w:line="360" w:lineRule="auto"/>
        <w:ind w:firstLine="480" w:firstLineChars="200"/>
        <w:rPr>
          <w:rFonts w:ascii="仿宋" w:hAnsi="仿宋" w:eastAsia="仿宋" w:cs="仿宋"/>
          <w:sz w:val="24"/>
          <w:szCs w:val="24"/>
        </w:rPr>
      </w:pPr>
      <w:bookmarkStart w:id="11" w:name="_Toc227423923"/>
      <w:bookmarkStart w:id="12" w:name="_Toc7133"/>
      <w:r>
        <w:rPr>
          <w:rFonts w:hint="eastAsia" w:ascii="仿宋" w:hAnsi="仿宋" w:eastAsia="仿宋" w:cs="仿宋"/>
          <w:sz w:val="24"/>
          <w:szCs w:val="24"/>
        </w:rPr>
        <w:t>六、评标方法及标准</w:t>
      </w:r>
      <w:bookmarkEnd w:id="11"/>
      <w:bookmarkEnd w:id="12"/>
    </w:p>
    <w:p w14:paraId="6CFE6CB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（一）评标方法：最底价中标。</w:t>
      </w:r>
    </w:p>
    <w:p w14:paraId="1E568B0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（二）评标标准：以下2项条件同时满足者中标：</w:t>
      </w:r>
    </w:p>
    <w:p w14:paraId="3136E4FB">
      <w:pPr>
        <w:numPr>
          <w:ilvl w:val="0"/>
          <w:numId w:val="6"/>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满足所有询价条件；</w:t>
      </w:r>
    </w:p>
    <w:p w14:paraId="23C4EB50">
      <w:pPr>
        <w:numPr>
          <w:ilvl w:val="0"/>
          <w:numId w:val="6"/>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报价最低者。</w:t>
      </w:r>
    </w:p>
    <w:p w14:paraId="0B04B420">
      <w:pPr>
        <w:adjustRightInd w:val="0"/>
        <w:snapToGrid w:val="0"/>
        <w:spacing w:line="360" w:lineRule="auto"/>
        <w:ind w:firstLine="480" w:firstLineChars="200"/>
        <w:rPr>
          <w:rFonts w:ascii="仿宋" w:hAnsi="仿宋" w:eastAsia="仿宋" w:cs="仿宋"/>
          <w:sz w:val="24"/>
          <w:szCs w:val="24"/>
        </w:rPr>
      </w:pPr>
      <w:bookmarkStart w:id="13" w:name="_Toc2364"/>
      <w:bookmarkStart w:id="14" w:name="_Toc291506261"/>
      <w:bookmarkStart w:id="15" w:name="_Toc227423924"/>
      <w:r>
        <w:rPr>
          <w:rFonts w:hint="eastAsia" w:ascii="仿宋" w:hAnsi="仿宋" w:eastAsia="仿宋" w:cs="仿宋"/>
          <w:sz w:val="24"/>
          <w:szCs w:val="24"/>
        </w:rPr>
        <w:t>七、中标及合同签订</w:t>
      </w:r>
      <w:bookmarkEnd w:id="13"/>
      <w:bookmarkEnd w:id="14"/>
      <w:bookmarkEnd w:id="15"/>
    </w:p>
    <w:p w14:paraId="79FCBAC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（一）中标通知</w:t>
      </w:r>
    </w:p>
    <w:p w14:paraId="30ED486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1.评标结束，确定中标人后，采购人将结果通知被邀请投标人。</w:t>
      </w:r>
    </w:p>
    <w:p w14:paraId="0A89436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2.招标采购单位不向落标的投标人解释落标原因，不退还投标文件。</w:t>
      </w:r>
    </w:p>
    <w:p w14:paraId="69C83503">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3.中标人有下列情形之一的，中标无效：</w:t>
      </w:r>
    </w:p>
    <w:p w14:paraId="0C05BDD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（1）中标后无正当理由不与采购人签订合同，或者与采购人另行订立背离合同实质性内容的协议的；</w:t>
      </w:r>
    </w:p>
    <w:p w14:paraId="4FD3E07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（2）将中标项目转让给他人，或者在投标文件中未说明，且未经采购人同意，将中标项目分包给他人的；</w:t>
      </w:r>
    </w:p>
    <w:p w14:paraId="5C09DA2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（3）拒绝履行合同义务的。</w:t>
      </w:r>
    </w:p>
    <w:p w14:paraId="5EF498F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（二）合同签订</w:t>
      </w:r>
    </w:p>
    <w:p w14:paraId="4EF56E6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1.签订合同前，采购人可对中标人的投标文件（含答复、补充文件）进行真实性查验，凡有虚假的，其中标无效，并依据有关规定给予违法违规处理。</w:t>
      </w:r>
    </w:p>
    <w:p w14:paraId="333ADE8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2.采购人在中标通知书发布之日起30日内，与中标人按范本格式制作并签订采购合同。项目数量增减、合同条款变更等按采购人相关规定另行签订补充合同。</w:t>
      </w:r>
    </w:p>
    <w:p w14:paraId="1DED5FB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3.本文件（含补充、修改文件）、中标人的投标文件（含答复、补充文件）均为签订采购合同的依据。</w:t>
      </w:r>
    </w:p>
    <w:p w14:paraId="3C5601D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4.中标人因不可抗力或自身原因不能签订采购合同或者不能履行合同的，采购人重新进行采购。</w:t>
      </w:r>
    </w:p>
    <w:p w14:paraId="1C2746FB">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5.合同履行中，根据实际需求，采购人需追加采购合同标的之外的项目，可与中标供应商就费用进行协商谈判后，签订补充协议。</w:t>
      </w:r>
    </w:p>
    <w:p w14:paraId="01CC6D52">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八、其他商务条件</w:t>
      </w:r>
    </w:p>
    <w:p w14:paraId="576EA209">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工</w:t>
      </w:r>
      <w:r>
        <w:rPr>
          <w:rFonts w:hint="eastAsia" w:ascii="仿宋" w:hAnsi="仿宋" w:eastAsia="仿宋" w:cs="仿宋"/>
          <w:sz w:val="24"/>
          <w:szCs w:val="24"/>
        </w:rPr>
        <w:t>期：合同签订后</w:t>
      </w:r>
      <w:r>
        <w:rPr>
          <w:rFonts w:hint="eastAsia" w:ascii="仿宋" w:hAnsi="仿宋" w:eastAsia="仿宋" w:cs="仿宋"/>
          <w:sz w:val="24"/>
          <w:szCs w:val="24"/>
          <w:lang w:val="en-US" w:eastAsia="zh-CN"/>
        </w:rPr>
        <w:t>30</w:t>
      </w:r>
      <w:r>
        <w:rPr>
          <w:rFonts w:hint="eastAsia" w:ascii="仿宋" w:hAnsi="仿宋" w:eastAsia="仿宋" w:cs="仿宋"/>
          <w:sz w:val="24"/>
          <w:szCs w:val="24"/>
        </w:rPr>
        <w:t>天内完成。</w:t>
      </w:r>
    </w:p>
    <w:p w14:paraId="7B75BFF5">
      <w:pPr>
        <w:pageBreakBefore w:val="0"/>
        <w:numPr>
          <w:ilvl w:val="0"/>
          <w:numId w:val="0"/>
        </w:numPr>
        <w:shd w:val="clear"/>
        <w:kinsoku/>
        <w:wordWrap/>
        <w:overflowPunct/>
        <w:topLinePunct/>
        <w:autoSpaceDE/>
        <w:autoSpaceDN/>
        <w:bidi w:val="0"/>
        <w:adjustRightInd w:val="0"/>
        <w:snapToGrid w:val="0"/>
        <w:spacing w:line="360" w:lineRule="auto"/>
        <w:ind w:firstLine="482" w:firstLineChars="200"/>
        <w:textAlignment w:val="auto"/>
        <w:rPr>
          <w:rFonts w:ascii="仿宋" w:hAnsi="仿宋" w:eastAsia="仿宋" w:cs="仿宋"/>
          <w:b/>
          <w:bCs/>
          <w:color w:val="FF0000"/>
          <w:sz w:val="24"/>
          <w:szCs w:val="24"/>
          <w:highlight w:val="none"/>
        </w:rPr>
      </w:pP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二</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highlight w:val="none"/>
        </w:rPr>
        <w:t>安全</w:t>
      </w:r>
      <w:r>
        <w:rPr>
          <w:rFonts w:hint="eastAsia" w:ascii="仿宋" w:hAnsi="仿宋" w:eastAsia="仿宋" w:cs="仿宋"/>
          <w:b/>
          <w:bCs/>
          <w:color w:val="FF0000"/>
          <w:sz w:val="24"/>
          <w:szCs w:val="24"/>
          <w:highlight w:val="none"/>
          <w:lang w:val="en-US" w:eastAsia="zh-CN"/>
        </w:rPr>
        <w:t>施工</w:t>
      </w:r>
      <w:r>
        <w:rPr>
          <w:rFonts w:hint="eastAsia" w:ascii="仿宋" w:hAnsi="仿宋" w:eastAsia="仿宋" w:cs="仿宋"/>
          <w:b/>
          <w:bCs/>
          <w:color w:val="FF0000"/>
          <w:sz w:val="24"/>
          <w:szCs w:val="24"/>
          <w:highlight w:val="none"/>
        </w:rPr>
        <w:t>管理要求：</w:t>
      </w:r>
    </w:p>
    <w:p w14:paraId="76A00F77">
      <w:pPr>
        <w:pageBreakBefore w:val="0"/>
        <w:numPr>
          <w:ilvl w:val="0"/>
          <w:numId w:val="0"/>
        </w:numPr>
        <w:shd w:val="clear"/>
        <w:kinsoku/>
        <w:wordWrap/>
        <w:overflowPunct/>
        <w:topLinePunct/>
        <w:autoSpaceDE/>
        <w:autoSpaceDN/>
        <w:bidi w:val="0"/>
        <w:adjustRightInd w:val="0"/>
        <w:snapToGrid w:val="0"/>
        <w:spacing w:line="360" w:lineRule="auto"/>
        <w:ind w:firstLine="482" w:firstLineChars="200"/>
        <w:textAlignment w:val="auto"/>
        <w:rPr>
          <w:rFonts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lang w:val="en-US" w:eastAsia="zh-CN"/>
        </w:rPr>
        <w:t>1.</w:t>
      </w:r>
      <w:r>
        <w:rPr>
          <w:rFonts w:hint="eastAsia" w:ascii="仿宋" w:hAnsi="仿宋" w:eastAsia="仿宋" w:cs="仿宋"/>
          <w:b/>
          <w:bCs/>
          <w:color w:val="FF0000"/>
          <w:sz w:val="24"/>
          <w:szCs w:val="24"/>
          <w:highlight w:val="none"/>
        </w:rPr>
        <w:t>签订合</w:t>
      </w:r>
      <w:r>
        <w:rPr>
          <w:rFonts w:hint="eastAsia" w:ascii="仿宋" w:hAnsi="仿宋" w:eastAsia="仿宋" w:cs="仿宋"/>
          <w:b/>
          <w:bCs/>
          <w:color w:val="FF0000"/>
          <w:sz w:val="24"/>
          <w:szCs w:val="24"/>
          <w:highlight w:val="none"/>
          <w:lang w:val="en-US" w:eastAsia="zh-CN"/>
        </w:rPr>
        <w:t>的</w:t>
      </w:r>
      <w:r>
        <w:rPr>
          <w:rFonts w:hint="eastAsia" w:ascii="仿宋" w:hAnsi="仿宋" w:eastAsia="仿宋" w:cs="仿宋"/>
          <w:b/>
          <w:bCs/>
          <w:color w:val="FF0000"/>
          <w:sz w:val="24"/>
          <w:szCs w:val="24"/>
          <w:highlight w:val="none"/>
        </w:rPr>
        <w:t>同时，中标</w:t>
      </w:r>
      <w:r>
        <w:rPr>
          <w:rFonts w:hint="eastAsia" w:ascii="仿宋" w:hAnsi="仿宋" w:eastAsia="仿宋" w:cs="仿宋"/>
          <w:b/>
          <w:bCs/>
          <w:color w:val="FF0000"/>
          <w:sz w:val="24"/>
          <w:szCs w:val="24"/>
          <w:highlight w:val="none"/>
          <w:lang w:val="en-US" w:eastAsia="zh-CN"/>
        </w:rPr>
        <w:t>供应商</w:t>
      </w:r>
      <w:r>
        <w:rPr>
          <w:rFonts w:hint="eastAsia" w:ascii="仿宋" w:hAnsi="仿宋" w:eastAsia="仿宋" w:cs="仿宋"/>
          <w:b/>
          <w:bCs/>
          <w:color w:val="FF0000"/>
          <w:sz w:val="24"/>
          <w:szCs w:val="24"/>
          <w:highlight w:val="none"/>
        </w:rPr>
        <w:t>必须与采购人</w:t>
      </w:r>
      <w:r>
        <w:rPr>
          <w:rFonts w:hint="eastAsia" w:ascii="仿宋" w:hAnsi="仿宋" w:eastAsia="仿宋" w:cs="仿宋"/>
          <w:b/>
          <w:bCs/>
          <w:color w:val="FF0000"/>
          <w:sz w:val="24"/>
          <w:szCs w:val="24"/>
          <w:highlight w:val="none"/>
          <w:lang w:val="en-US" w:eastAsia="zh-CN"/>
        </w:rPr>
        <w:t>的安全管理部门</w:t>
      </w:r>
      <w:r>
        <w:rPr>
          <w:rFonts w:hint="eastAsia" w:ascii="仿宋" w:hAnsi="仿宋" w:eastAsia="仿宋" w:cs="仿宋"/>
          <w:b/>
          <w:bCs/>
          <w:color w:val="FF0000"/>
          <w:sz w:val="24"/>
          <w:szCs w:val="24"/>
          <w:highlight w:val="none"/>
        </w:rPr>
        <w:t>同时签订安全</w:t>
      </w:r>
      <w:r>
        <w:rPr>
          <w:rFonts w:hint="eastAsia" w:ascii="仿宋" w:hAnsi="仿宋" w:eastAsia="仿宋" w:cs="仿宋"/>
          <w:b/>
          <w:bCs/>
          <w:color w:val="FF0000"/>
          <w:sz w:val="24"/>
          <w:szCs w:val="24"/>
          <w:highlight w:val="none"/>
          <w:lang w:val="en-US" w:eastAsia="zh-CN"/>
        </w:rPr>
        <w:t>施工</w:t>
      </w:r>
      <w:r>
        <w:rPr>
          <w:rFonts w:hint="eastAsia" w:ascii="仿宋" w:hAnsi="仿宋" w:eastAsia="仿宋" w:cs="仿宋"/>
          <w:b/>
          <w:bCs/>
          <w:color w:val="FF0000"/>
          <w:sz w:val="24"/>
          <w:szCs w:val="24"/>
          <w:highlight w:val="none"/>
        </w:rPr>
        <w:t>协议书，保证安全施工；</w:t>
      </w:r>
    </w:p>
    <w:p w14:paraId="47A0B53D">
      <w:pPr>
        <w:topLinePunct/>
        <w:adjustRightInd w:val="0"/>
        <w:snapToGrid w:val="0"/>
        <w:spacing w:line="360" w:lineRule="auto"/>
        <w:ind w:firstLine="482" w:firstLineChars="200"/>
        <w:rPr>
          <w:rFonts w:ascii="仿宋" w:hAnsi="仿宋" w:eastAsia="仿宋" w:cs="仿宋"/>
          <w:b/>
          <w:bCs/>
          <w:color w:val="FF0000"/>
          <w:sz w:val="24"/>
          <w:szCs w:val="24"/>
        </w:rPr>
      </w:pPr>
      <w:r>
        <w:rPr>
          <w:rFonts w:hint="eastAsia" w:ascii="仿宋" w:hAnsi="仿宋" w:eastAsia="仿宋" w:cs="仿宋"/>
          <w:b/>
          <w:bCs/>
          <w:color w:val="FF0000"/>
          <w:sz w:val="24"/>
          <w:szCs w:val="24"/>
          <w:highlight w:val="none"/>
          <w:lang w:val="en-US" w:eastAsia="zh-CN"/>
        </w:rPr>
        <w:t>2.</w:t>
      </w:r>
      <w:r>
        <w:rPr>
          <w:rFonts w:hint="eastAsia" w:ascii="仿宋" w:hAnsi="仿宋" w:eastAsia="仿宋" w:cs="仿宋"/>
          <w:b/>
          <w:bCs/>
          <w:color w:val="FF0000"/>
          <w:sz w:val="24"/>
          <w:szCs w:val="24"/>
          <w:highlight w:val="none"/>
        </w:rPr>
        <w:t>中标</w:t>
      </w:r>
      <w:r>
        <w:rPr>
          <w:rFonts w:hint="eastAsia" w:ascii="仿宋" w:hAnsi="仿宋" w:eastAsia="仿宋" w:cs="仿宋"/>
          <w:b/>
          <w:bCs/>
          <w:color w:val="FF0000"/>
          <w:sz w:val="24"/>
          <w:szCs w:val="24"/>
          <w:highlight w:val="none"/>
          <w:lang w:val="en-US" w:eastAsia="zh-CN"/>
        </w:rPr>
        <w:t>供应商</w:t>
      </w:r>
      <w:r>
        <w:rPr>
          <w:rFonts w:hint="eastAsia" w:ascii="仿宋" w:hAnsi="仿宋" w:eastAsia="仿宋" w:cs="仿宋"/>
          <w:b/>
          <w:bCs/>
          <w:color w:val="FF0000"/>
          <w:sz w:val="24"/>
          <w:szCs w:val="24"/>
          <w:highlight w:val="none"/>
        </w:rPr>
        <w:t>必须给每次进场的施工人员购买人身意外保险</w:t>
      </w:r>
      <w:r>
        <w:rPr>
          <w:rFonts w:hint="eastAsia" w:ascii="仿宋" w:hAnsi="仿宋" w:eastAsia="仿宋" w:cs="仿宋"/>
          <w:b/>
          <w:bCs/>
          <w:color w:val="FF0000"/>
          <w:sz w:val="24"/>
          <w:szCs w:val="24"/>
          <w:highlight w:val="none"/>
          <w:lang w:val="en-US" w:eastAsia="zh-CN"/>
        </w:rPr>
        <w:t>或社保</w:t>
      </w:r>
      <w:r>
        <w:rPr>
          <w:rFonts w:hint="eastAsia" w:ascii="仿宋" w:hAnsi="仿宋" w:eastAsia="仿宋" w:cs="仿宋"/>
          <w:b/>
          <w:bCs/>
          <w:color w:val="FF0000"/>
          <w:sz w:val="24"/>
          <w:szCs w:val="24"/>
          <w:highlight w:val="none"/>
        </w:rPr>
        <w:t>；所有施工人员须遵守文明安全施工的有关规章制度，包括但不限于第三章《安全施工操作规程》的内容，且持证上岗；施工过程中的发生安全事故由中标人承担。</w:t>
      </w:r>
    </w:p>
    <w:p w14:paraId="6CB0F93E">
      <w:pPr>
        <w:topLinePunct/>
        <w:adjustRightInd w:val="0"/>
        <w:snapToGrid w:val="0"/>
        <w:spacing w:line="360" w:lineRule="auto"/>
        <w:ind w:firstLine="482" w:firstLineChars="200"/>
        <w:rPr>
          <w:rFonts w:ascii="仿宋" w:hAnsi="仿宋" w:eastAsia="仿宋" w:cs="仿宋"/>
          <w:b/>
          <w:bCs/>
          <w:color w:val="FF0000"/>
          <w:sz w:val="24"/>
          <w:szCs w:val="24"/>
        </w:rPr>
      </w:pP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三</w:t>
      </w:r>
      <w:r>
        <w:rPr>
          <w:rFonts w:hint="eastAsia" w:ascii="仿宋" w:hAnsi="仿宋" w:eastAsia="仿宋" w:cs="仿宋"/>
          <w:b/>
          <w:bCs/>
          <w:color w:val="FF0000"/>
          <w:sz w:val="24"/>
          <w:szCs w:val="24"/>
        </w:rPr>
        <w:t>）验收：</w:t>
      </w:r>
      <w:r>
        <w:rPr>
          <w:rFonts w:hint="eastAsia" w:ascii="仿宋" w:hAnsi="仿宋" w:eastAsia="仿宋" w:cs="仿宋"/>
          <w:b/>
          <w:bCs/>
          <w:color w:val="FF0000"/>
          <w:sz w:val="24"/>
          <w:szCs w:val="24"/>
          <w:lang w:val="en-US" w:eastAsia="zh-CN"/>
        </w:rPr>
        <w:t>工程完工后</w:t>
      </w:r>
      <w:r>
        <w:rPr>
          <w:rFonts w:hint="eastAsia" w:ascii="仿宋" w:hAnsi="仿宋" w:eastAsia="仿宋" w:cs="仿宋"/>
          <w:b/>
          <w:bCs/>
          <w:color w:val="FF0000"/>
          <w:sz w:val="24"/>
          <w:szCs w:val="24"/>
        </w:rPr>
        <w:t>，采购人对</w:t>
      </w:r>
      <w:r>
        <w:rPr>
          <w:rFonts w:hint="eastAsia" w:ascii="仿宋" w:hAnsi="仿宋" w:eastAsia="仿宋" w:cs="仿宋"/>
          <w:b/>
          <w:bCs/>
          <w:color w:val="FF0000"/>
          <w:sz w:val="24"/>
          <w:szCs w:val="24"/>
          <w:lang w:val="en-US" w:eastAsia="zh-CN"/>
        </w:rPr>
        <w:t>工程质量、服务、工期</w:t>
      </w:r>
      <w:r>
        <w:rPr>
          <w:rFonts w:hint="eastAsia" w:ascii="仿宋" w:hAnsi="仿宋" w:eastAsia="仿宋" w:cs="仿宋"/>
          <w:b/>
          <w:bCs/>
          <w:color w:val="FF0000"/>
          <w:sz w:val="24"/>
          <w:szCs w:val="24"/>
        </w:rPr>
        <w:t>等进行详细而全面的检验，无任何问题，签署验收单，作为付款凭据之一。</w:t>
      </w:r>
    </w:p>
    <w:p w14:paraId="00C60DD0">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）售后服务：成交供应商应提供及时周到的售后服务。</w:t>
      </w:r>
      <w:bookmarkStart w:id="16" w:name="_Toc6399"/>
    </w:p>
    <w:p w14:paraId="4750D11E">
      <w:pPr>
        <w:topLinePunct/>
        <w:adjustRightInd w:val="0"/>
        <w:snapToGrid w:val="0"/>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）质保期：2年，质保期内</w:t>
      </w:r>
      <w:r>
        <w:rPr>
          <w:rFonts w:hint="eastAsia" w:ascii="仿宋" w:hAnsi="仿宋" w:eastAsia="仿宋" w:cs="仿宋"/>
          <w:sz w:val="24"/>
          <w:szCs w:val="24"/>
          <w:lang w:val="en-US" w:eastAsia="zh-CN"/>
        </w:rPr>
        <w:t>产生的施工</w:t>
      </w:r>
      <w:r>
        <w:rPr>
          <w:rFonts w:hint="eastAsia" w:ascii="仿宋" w:hAnsi="仿宋" w:eastAsia="仿宋" w:cs="仿宋"/>
          <w:sz w:val="24"/>
          <w:szCs w:val="24"/>
        </w:rPr>
        <w:t>质量</w:t>
      </w:r>
      <w:r>
        <w:rPr>
          <w:rFonts w:hint="eastAsia" w:ascii="仿宋" w:hAnsi="仿宋" w:eastAsia="仿宋" w:cs="仿宋"/>
          <w:sz w:val="24"/>
          <w:szCs w:val="24"/>
          <w:lang w:val="en-US" w:eastAsia="zh-CN"/>
        </w:rPr>
        <w:t>问题</w:t>
      </w:r>
      <w:r>
        <w:rPr>
          <w:rFonts w:hint="eastAsia" w:ascii="仿宋" w:hAnsi="仿宋" w:eastAsia="仿宋" w:cs="仿宋"/>
          <w:sz w:val="24"/>
          <w:szCs w:val="24"/>
        </w:rPr>
        <w:t>免费到场维修。</w:t>
      </w:r>
    </w:p>
    <w:p w14:paraId="2E94BB01">
      <w:pPr>
        <w:topLinePunct/>
        <w:adjustRightInd w:val="0"/>
        <w:snapToGrid w:val="0"/>
        <w:spacing w:line="360" w:lineRule="auto"/>
        <w:ind w:left="420" w:leftChars="200" w:firstLine="120" w:firstLineChars="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六）中标供应商提供的材质以及制作安装过程中必须符合甲方ISO国际标准质量、环境、职业安全健康一体化管理体系要求。</w:t>
      </w:r>
    </w:p>
    <w:bookmarkEnd w:id="16"/>
    <w:p w14:paraId="34A86F91">
      <w:pPr>
        <w:pageBreakBefore w:val="0"/>
        <w:shd w:val="clear"/>
        <w:kinsoku/>
        <w:wordWrap/>
        <w:overflowPunct/>
        <w:autoSpaceDE/>
        <w:autoSpaceDN/>
        <w:bidi w:val="0"/>
        <w:adjustRightInd w:val="0"/>
        <w:snapToGrid w:val="0"/>
        <w:spacing w:line="360" w:lineRule="auto"/>
        <w:ind w:firstLine="643" w:firstLineChars="200"/>
        <w:jc w:val="center"/>
        <w:textAlignment w:val="auto"/>
        <w:rPr>
          <w:rFonts w:ascii="仿宋" w:hAnsi="仿宋" w:eastAsia="仿宋" w:cs="仿宋"/>
          <w:b/>
          <w:bCs/>
          <w:sz w:val="32"/>
          <w:szCs w:val="32"/>
          <w:highlight w:val="none"/>
        </w:rPr>
      </w:pPr>
      <w:bookmarkStart w:id="17" w:name="_Toc227520434"/>
      <w:bookmarkStart w:id="18" w:name="_Toc635"/>
      <w:r>
        <w:rPr>
          <w:rFonts w:hint="eastAsia" w:ascii="仿宋" w:hAnsi="仿宋" w:eastAsia="仿宋" w:cs="仿宋"/>
          <w:b/>
          <w:bCs/>
          <w:sz w:val="32"/>
          <w:szCs w:val="32"/>
          <w:highlight w:val="none"/>
        </w:rPr>
        <w:t>第三章 安全施工操作规程</w:t>
      </w:r>
    </w:p>
    <w:p w14:paraId="2F1805C9">
      <w:pPr>
        <w:pStyle w:val="2"/>
        <w:pageBreakBefore w:val="0"/>
        <w:shd w:val="clear"/>
        <w:kinsoku/>
        <w:wordWrap/>
        <w:overflowPunct/>
        <w:autoSpaceDE/>
        <w:autoSpaceDN/>
        <w:bidi w:val="0"/>
        <w:adjustRightInd w:val="0"/>
        <w:snapToGrid w:val="0"/>
        <w:spacing w:line="360" w:lineRule="auto"/>
        <w:ind w:firstLine="422" w:firstLineChars="200"/>
        <w:textAlignment w:val="auto"/>
        <w:rPr>
          <w:rFonts w:ascii="黑体"/>
          <w:b w:val="0"/>
          <w:sz w:val="21"/>
          <w:szCs w:val="21"/>
          <w:highlight w:val="none"/>
        </w:rPr>
      </w:pPr>
      <w:bookmarkStart w:id="19" w:name="_Toc27469"/>
      <w:bookmarkStart w:id="20" w:name="_Toc14344"/>
      <w:bookmarkStart w:id="21" w:name="_Toc25210"/>
      <w:bookmarkStart w:id="22" w:name="_Toc28883"/>
      <w:r>
        <w:rPr>
          <w:rFonts w:hint="eastAsia" w:ascii="宋体" w:hAnsi="宋体" w:eastAsia="宋体" w:cs="宋体"/>
          <w:sz w:val="21"/>
          <w:szCs w:val="21"/>
          <w:highlight w:val="none"/>
        </w:rPr>
        <w:t>第一节  焊工安全操作规程</w:t>
      </w:r>
      <w:bookmarkEnd w:id="19"/>
      <w:bookmarkEnd w:id="20"/>
      <w:bookmarkEnd w:id="21"/>
      <w:bookmarkEnd w:id="22"/>
    </w:p>
    <w:p w14:paraId="48533AF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1、工作前应认真检查工具、设备是否完好，焊机的外壳是否可靠地接地。焊机的修理应由电气保养人员进行，其他人员不得拆修。</w:t>
      </w:r>
    </w:p>
    <w:p w14:paraId="3491BD1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2、工作前应认真检查工作环境，确认为正常方可开始工作，施工前穿戴好劳动保护用品，戴好安全帽。高空作业要戴好安全带。敲焊渣、磨砂轮戴好平光眼镜。</w:t>
      </w:r>
    </w:p>
    <w:p w14:paraId="3075885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3、焊接前，应检查并确认对焊机的压力机构灵活，夹具牢固，气压、液压系统无泄漏，一切正常后，方可施焊。</w:t>
      </w:r>
    </w:p>
    <w:p w14:paraId="0510CDC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4、焊接前，应根据所焊接钢筋截面，调整二次电压，不得焊接超过对焊机规定直径的钢筋。</w:t>
      </w:r>
    </w:p>
    <w:p w14:paraId="03FC360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5、接拆电焊机电源线或电焊机发生故障，应会同电工一起进行修理，严防触电事故。</w:t>
      </w:r>
    </w:p>
    <w:p w14:paraId="7875D31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6、接地线要牢靠安全，不准用脚手架，钢丝缆绳、机床等作接地线。</w:t>
      </w:r>
    </w:p>
    <w:p w14:paraId="3C07E4C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7、在靠近易燃地方焊接，要有严格的防火措施，必要时须经安全员同意方可工作。焊接完毕应认真检查确无火源，才能离开工作场地。 </w:t>
      </w:r>
    </w:p>
    <w:p w14:paraId="652C281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8、焊接密封容器、管子应先开好放气孔。修补已装过油的容器，应清洗干净，打开人孔盖或放气孔，才能进行焊接。</w:t>
      </w:r>
    </w:p>
    <w:p w14:paraId="4245E34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在已使用过的罐体上进行焊接作业时，必须查明是否有易燃、易爆气体或物料，严禁在未查明之前动火焊接。焊钳、电焊线应经常检查、保养，发现有损坏应及时修好或更换，焊接过程发现短路现象应先关好焊机，再寻找短路原因，防止焊机烧坏。 </w:t>
      </w:r>
    </w:p>
    <w:p w14:paraId="1224FF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10、焊接吊码、加强脚手架和重要结构应有足够的强度，并敲去焊渣认真检查是否安全、可靠。 </w:t>
      </w:r>
    </w:p>
    <w:p w14:paraId="5EE91D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9、在容器内焊接，应注意通风，把有害烟尘排出，以防中毒。在狭小容器内焊接应有2人，以防触电等事故。</w:t>
      </w:r>
    </w:p>
    <w:p w14:paraId="1568705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12、容器内油漆未干，有可燃体散发不准施焊。 </w:t>
      </w:r>
    </w:p>
    <w:p w14:paraId="31E1C1C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13、施工焊接现场10M范围内，不得堆放油类、木材、氧气瓶、乙炔发生器等易燃、易爆物品。</w:t>
      </w:r>
    </w:p>
    <w:p w14:paraId="325DC6E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14、断路器的接触点、电极应定期光磨，二次电路全部连接螺栓应定期紧固。冷却水温度不得超过40℃；排水量应根据温度调节。</w:t>
      </w:r>
    </w:p>
    <w:p w14:paraId="7250EB2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15、焊接较长钢筋时，应设置托架，配合搬运钢筋的操作人员，在焊接时应防止火花烫伤。</w:t>
      </w:r>
    </w:p>
    <w:p w14:paraId="0AA462C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16、闪光区应设挡板，与焊接无关的人员不得入内。</w:t>
      </w:r>
    </w:p>
    <w:p w14:paraId="6B0BA9A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FF"/>
          <w:sz w:val="21"/>
          <w:szCs w:val="21"/>
          <w:highlight w:val="none"/>
        </w:rPr>
      </w:pPr>
      <w:r>
        <w:rPr>
          <w:rFonts w:hint="eastAsia" w:ascii="宋体" w:hAnsi="宋体"/>
          <w:color w:val="000000"/>
          <w:sz w:val="21"/>
          <w:szCs w:val="21"/>
          <w:highlight w:val="none"/>
        </w:rPr>
        <w:t>17、冬季施焊时，室内温度不应低于8℃。作业后，应放尽机内冷却水。</w:t>
      </w:r>
    </w:p>
    <w:p w14:paraId="2F6FC93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rPr>
        <w:t>8、电焊机应放在防雨和通风良好的地方，焊接现场不准堆放易燃、易爆物品，使用电焊机必须按规定穿戴防护用品。</w:t>
      </w:r>
    </w:p>
    <w:p w14:paraId="36418D4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sz w:val="21"/>
          <w:szCs w:val="21"/>
          <w:highlight w:val="none"/>
        </w:rPr>
        <w:t>1</w:t>
      </w:r>
      <w:r>
        <w:rPr>
          <w:rFonts w:hint="eastAsia" w:ascii="宋体" w:hAnsi="宋体"/>
          <w:sz w:val="21"/>
          <w:szCs w:val="21"/>
          <w:highlight w:val="none"/>
        </w:rPr>
        <w:t>9、焊钳与把线必须绝缘良好，连接牢固，更换焊条应戴手套；潮湿地点工作，应站在绝缘胶板上或木板上。</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20、交流弧焊机一次电源线长度应不大于5米，电焊机二次线电缆长度应不大于30米。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21、严禁在带压力的容器或管道上施焊，焊接带电的设备必须先切断电源。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22、焊接贮存过易燃、易爆、有毒物品的容器或管道，必须先清除干净，并将所有孔口打开。</w:t>
      </w:r>
    </w:p>
    <w:p w14:paraId="4CF1B53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23、在密闭金属容器内施焊时，容器必须可靠接地、通风良好，并应有人监护。严禁往容器内输入氧气。</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24、焊接预热工件时，应有石棉布或挡板等隔热措施。</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25、把线、地线，禁止与钢丝绳接触，更不得用钢丝绳或机电设备代替零线。所有地线接头必须连接牢固。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26、更换场地移动把线时，应切断电源，并不得手持把线爬梯登高。</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27、清除焊渣采用电弧气刨清根时，应戴防护眼镜或面罩，防止铁渣飞溅伤人。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28、雷雨时，应停止露天焊接作业;更换场地移动把线应切断电源。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2</w:t>
      </w:r>
      <w:r>
        <w:rPr>
          <w:rFonts w:hint="eastAsia" w:ascii="宋体" w:hAnsi="宋体"/>
          <w:color w:val="000000"/>
          <w:sz w:val="21"/>
          <w:szCs w:val="21"/>
          <w:highlight w:val="none"/>
        </w:rPr>
        <w:t>9、必须在易燃易爆气体或液体扩散区施焊时，应经有关部门检试许可后，方可施焊。</w:t>
      </w:r>
    </w:p>
    <w:p w14:paraId="555619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color w:val="000000"/>
          <w:sz w:val="21"/>
          <w:szCs w:val="21"/>
          <w:highlight w:val="none"/>
        </w:rPr>
        <w:t>30、电焊着火时，应先切断焊机电源，再用二氧化碳、干粉等灭火器灭火，禁止使用泡沫灭火器。 </w:t>
      </w:r>
    </w:p>
    <w:p w14:paraId="0F985B9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31、工作完毕，必须断掉龙头线接头，检查现场，灭绝火种，切断电源，确认无起火危险后，方可离去。</w:t>
      </w:r>
    </w:p>
    <w:p w14:paraId="5750E62D">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3" w:name="_Toc31024"/>
      <w:bookmarkStart w:id="24" w:name="_Toc2036"/>
      <w:bookmarkStart w:id="25" w:name="_Toc16316"/>
      <w:r>
        <w:rPr>
          <w:rFonts w:hint="eastAsia" w:ascii="宋体" w:hAnsi="宋体" w:cs="宋体"/>
          <w:b/>
          <w:bCs/>
          <w:sz w:val="21"/>
          <w:szCs w:val="21"/>
          <w:highlight w:val="none"/>
        </w:rPr>
        <w:t>第二节 电工安全操作规程</w:t>
      </w:r>
      <w:bookmarkEnd w:id="23"/>
      <w:bookmarkEnd w:id="24"/>
      <w:bookmarkEnd w:id="25"/>
    </w:p>
    <w:p w14:paraId="45E0762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 xml:space="preserve"> </w:t>
      </w:r>
      <w:r>
        <w:rPr>
          <w:rFonts w:hint="eastAsia" w:ascii="宋体" w:hAnsi="宋体"/>
          <w:sz w:val="21"/>
          <w:szCs w:val="21"/>
          <w:highlight w:val="none"/>
        </w:rPr>
        <w:t xml:space="preserve">1、电工作业人员必须经过有关部门安全技术培训，取得特种作业操作证后，方可独立上岗操作。现场用电作业必须由电工完成，严禁他人私拉乱接等作业。    </w:t>
      </w:r>
    </w:p>
    <w:p w14:paraId="73256BC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2、所有绝缘、检验工具，应妥善保管，严禁他用，并应定期检查、检验。    </w:t>
      </w:r>
    </w:p>
    <w:p w14:paraId="3E78E09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3、现场施工用电高低压设备及线路，应按照施工组织设计及有关电气安全技术规程安装和架设。线路上禁止带负荷接电或断电，并禁止带电操作。  </w:t>
      </w:r>
    </w:p>
    <w:p w14:paraId="2CE981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4、电气设备和线路必须绝缘良好，电线不得与金属物绑在一起；各种施工用电设备必须按规定进行保护接零及装没漏保器。遇有临时停电或停工休息时，必须拉闸加锁。    </w:t>
      </w:r>
    </w:p>
    <w:p w14:paraId="4532DA4D">
      <w:pPr>
        <w:pageBreakBefore w:val="0"/>
        <w:shd w:val="clear"/>
        <w:kinsoku/>
        <w:wordWrap/>
        <w:overflowPunct/>
        <w:autoSpaceDE/>
        <w:autoSpaceDN/>
        <w:bidi w:val="0"/>
        <w:adjustRightInd w:val="0"/>
        <w:snapToGrid w:val="0"/>
        <w:spacing w:line="360" w:lineRule="auto"/>
        <w:ind w:firstLine="420" w:firstLineChars="200"/>
        <w:textAlignment w:val="auto"/>
        <w:rPr>
          <w:rFonts w:ascii="_x000B__x000C_" w:hAnsi="_x000B__x000C_"/>
          <w:color w:val="000000"/>
          <w:sz w:val="21"/>
          <w:szCs w:val="21"/>
          <w:highlight w:val="none"/>
        </w:rPr>
      </w:pPr>
      <w:r>
        <w:rPr>
          <w:rFonts w:hint="eastAsia" w:ascii="宋体" w:hAnsi="宋体"/>
          <w:sz w:val="21"/>
          <w:szCs w:val="21"/>
          <w:highlight w:val="none"/>
        </w:rPr>
        <w:t>5、有人触电时，应立即切断电源，进行急救；电气着火时，应立即将有关电源切断，使用绝缘灭火机或干砂灭火。</w:t>
      </w:r>
      <w:r>
        <w:rPr>
          <w:rFonts w:hint="eastAsia" w:ascii="_x000B__x000C_" w:hAnsi="_x000B__x000C_"/>
          <w:color w:val="000000"/>
          <w:sz w:val="21"/>
          <w:szCs w:val="21"/>
          <w:highlight w:val="none"/>
        </w:rPr>
        <w:t>严禁使用泡沫灭火器。</w:t>
      </w:r>
    </w:p>
    <w:p w14:paraId="31C25FC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6、在施工现场专用的中性点直接接地的电力系统中，必须采用TN—S接零保护系统。  </w:t>
      </w:r>
    </w:p>
    <w:p w14:paraId="7DE5448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7、施工现场每一处重复接地的按地电阻值应不大于10欧姆，且不得少于3处(即总配电箱、线路的中间和末端处)。   </w:t>
      </w:r>
    </w:p>
    <w:p w14:paraId="6E271CD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8、电气设备所有保险丝(片)的额定电源应与其负荷容量相适应。禁上用其他金属丝代替保险丝。    </w:t>
      </w:r>
    </w:p>
    <w:p w14:paraId="64F5FDF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9、动力线路与照明线路必须分开架设。照明开关、灯口及插座等，应正确接入相线及零线。   </w:t>
      </w:r>
    </w:p>
    <w:p w14:paraId="0855067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施工现场夜间临时照明电线及灯具，室内高度应不低于2.4米，室外高度应不低于3米。易燃、易爆场所应有防爆灯具。施工现场照明灯具的金属外壳和金属支架必须作保护接零。电线要采用三芯橡皮护套电缆，严禁使用花线和护套线。   </w:t>
      </w:r>
    </w:p>
    <w:p w14:paraId="3EFDF4E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9、要按规定做好钢管脚手架、物料提升机、塔吊等的防雷接地保护。接地体可用角钢，不得使用螺纹钢，接地电阻应符合规范要求。   </w:t>
      </w:r>
    </w:p>
    <w:p w14:paraId="6BB13B4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12、支线架设应设置横担，并用绝缘子固定；电线严禁架设在脚手架、树木等处，不准用竹质电杆；架空线路不准成束架设。    </w:t>
      </w:r>
    </w:p>
    <w:p w14:paraId="5CF95DC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13、电气设备的金属外壳，必须接保护零线，同一供电系统不允许电气设备有的接地有的保护接零。    </w:t>
      </w:r>
    </w:p>
    <w:p w14:paraId="325B638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14、施工现场配电箱要有防雨措施，门锁齐全，有色标，统一编号。开关箱要做到一机一闸一漏一箱，箱内尤杂物；开关箱、配电箱内严禁动力、照明混用；要有检修记录及记录本。  </w:t>
      </w:r>
    </w:p>
    <w:p w14:paraId="373A3DE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15、移动电箱电源线长度不大于30米，移动用电设备引出线不大于5米。 </w:t>
      </w:r>
    </w:p>
    <w:p w14:paraId="3AE4BDB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16、所有配电箱均应标明其名称、用途，并作出分路标记。 所有配电箱门应配锁，配电箱和开关箱应由持证的电工负责使用管理。</w:t>
      </w:r>
    </w:p>
    <w:p w14:paraId="2743865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17、安装高压油开关，自动空气开关等有返回弹簧的开关设备时，应将开关置于断开位置。</w:t>
      </w:r>
    </w:p>
    <w:p w14:paraId="05220DF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18、电力传动装置系统及高低压各型开关调试时，应将有关的开关手柄取下或锁上，悬挂标志牌，防止误合闸。</w:t>
      </w:r>
    </w:p>
    <w:p w14:paraId="34563D2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19、施工现场临时用电以及电机设备必须建立安全技术档案，现场应配置专职维护电工，并做好巡视维修记录。</w:t>
      </w:r>
    </w:p>
    <w:p w14:paraId="53D11652">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6" w:name="_Toc5717"/>
      <w:bookmarkStart w:id="27" w:name="_Toc17144"/>
      <w:bookmarkStart w:id="28" w:name="_Toc21589"/>
      <w:r>
        <w:rPr>
          <w:rFonts w:hint="eastAsia" w:ascii="宋体" w:hAnsi="宋体" w:cs="宋体"/>
          <w:b/>
          <w:bCs/>
          <w:sz w:val="21"/>
          <w:szCs w:val="21"/>
          <w:highlight w:val="none"/>
        </w:rPr>
        <w:t>第三节 架子工安全操作规程</w:t>
      </w:r>
      <w:bookmarkEnd w:id="26"/>
      <w:bookmarkEnd w:id="27"/>
      <w:bookmarkEnd w:id="28"/>
    </w:p>
    <w:p w14:paraId="3BEA2F4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1、架子工(建筑登高架设作业人员)经特种作业和高处作业安全技术培训考核，取得特种作业操作证和体检合格后，才能进行脚手架的搭设和拆除工作。</w:t>
      </w:r>
    </w:p>
    <w:p w14:paraId="657AC93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2、搭设脚手架必须按规范进行，即：横平竖直、连接牢固，底脚着实，层层拉结，支撑挺直，通畅平坦，设施齐全、牢固。</w:t>
      </w:r>
    </w:p>
    <w:p w14:paraId="4FF8067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3、架子工必须严格按专项施工方案及操作规程的要求搭设，在搭设中要正确佩戴和使用劳动保护用品，戴好安全帽，系安全带，佩带工具袋（套），禁止穿硬底和带钉易滑的鞋上岗。</w:t>
      </w:r>
    </w:p>
    <w:p w14:paraId="07C8002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4、架子工的作业必须遵照安全技术操作规程、施工负责人的安全技术交底进行，在操作中要严格按规程、标准要求搭设，坚守工作岗位，严禁酒后上岗操作。</w:t>
      </w:r>
    </w:p>
    <w:p w14:paraId="65E955F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5、脚手架不得钢、竹混搭，主要受力杆件，如立杆、大横杆、小横杆和剪刀撑等，在同一建筑立面必须使用同一材质的材料。</w:t>
      </w:r>
    </w:p>
    <w:p w14:paraId="7278195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6、搭设用钢管和扣件必须符合国家标准，禁止使用有严重锈蚀、弯曲变形或有裂纹的钢管，脆裂、变形、滑丝的扣件也禁止使用。</w:t>
      </w:r>
    </w:p>
    <w:p w14:paraId="562C310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7、脚手架内立杆与外墙面间按规定进行防护。脚手架上人斜道应有独立的支撑系统，转角休息平台应不小于2平方米，斜道坡度不得大于l:3，防滑条的间距不得大于30厘米。</w:t>
      </w:r>
    </w:p>
    <w:p w14:paraId="1D56227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8、钢管脚手架立杆的底脚应垂直稳放在砼垫块或砼硬化地基上，并设纵、横向扫地杆。</w:t>
      </w:r>
    </w:p>
    <w:p w14:paraId="1281487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9、脚于架两端、转角处以及外侧的剪刀撑必须接续到位，拉结点构造和数量符合要求。</w:t>
      </w:r>
    </w:p>
    <w:p w14:paraId="61C923B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10、设置的立杆应等距，纵向间距不得大于1.8水、脚厂架离墙面不宜大于10厘米。大于10厘米的，必须采取隔离措施。</w:t>
      </w:r>
    </w:p>
    <w:p w14:paraId="4976C6A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、脚手架主要杆件的接长点必须错开；钢管剪刀撑的接长处必须搭接，其搭接长度不得小于50厘米。</w:t>
      </w:r>
    </w:p>
    <w:p w14:paraId="2414269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脚手架的顶端必须按规程要求封顶；里立杆应低于檐口50厘米，外立杆应高出檐口1米。脚手架的外侧，自第二步起，必须每步设1.2米高的防护栏杆和30米厘米高的挡脚杆；顶排的扶手栏杆不得少于2道，高度分别为1.2米和1.8米。</w:t>
      </w:r>
    </w:p>
    <w:p w14:paraId="22255D5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13、脚手架与各类输电线路的距离必须符合规定的安全距离，否则必须采取必要的安全防护措施。搭没和拆除架体时，必须注意安全，谨防杆件碰及高压线后伤人。</w:t>
      </w:r>
    </w:p>
    <w:p w14:paraId="6FAA104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14、操作面高于2米的里脚手架的安全防护、强度、刚性和稳定性必须同样符合有关要求。</w:t>
      </w:r>
    </w:p>
    <w:p w14:paraId="5994231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15、脚手架必须有良好的避雷接地装置，接地电阻不大于lo欧姆。</w:t>
      </w:r>
    </w:p>
    <w:p w14:paraId="346566C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16、脚手架上的垃圾杂物必须经常清理，发现脚手片破损或杆件弯曲、变形的，应及时更换。</w:t>
      </w:r>
    </w:p>
    <w:p w14:paraId="3E3E6AA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17、严禁在脚手架上拉缆风绳和设置起重把杆；不准在脚手架上搁运料滑槽，搭设受料平台；不准采用斜拉、斜吊方式从脚手架上进料。</w:t>
      </w:r>
    </w:p>
    <w:p w14:paraId="12C6605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18</w:t>
      </w:r>
      <w:r>
        <w:rPr>
          <w:rFonts w:hint="eastAsia" w:ascii="宋体" w:hAnsi="宋体"/>
          <w:sz w:val="21"/>
          <w:szCs w:val="21"/>
          <w:highlight w:val="none"/>
        </w:rPr>
        <w:t>、遇有六级以上大风等恶劣气候，禁止进行露天的高处架子作业。</w:t>
      </w:r>
    </w:p>
    <w:p w14:paraId="5BB93C7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9</w:t>
      </w:r>
      <w:r>
        <w:rPr>
          <w:rFonts w:hint="eastAsia" w:ascii="宋体" w:hAnsi="宋体"/>
          <w:sz w:val="21"/>
          <w:szCs w:val="21"/>
          <w:highlight w:val="none"/>
        </w:rPr>
        <w:t>、架子的铺设宽度</w:t>
      </w:r>
      <w:r>
        <w:rPr>
          <w:rFonts w:hint="eastAsia" w:ascii="仿宋_GB2312"/>
          <w:sz w:val="21"/>
          <w:szCs w:val="21"/>
          <w:highlight w:val="none"/>
        </w:rPr>
        <w:t>不得小于1.2米，脚手板须满铺，不得有空隙和探头板，脚手板搭接时不得小于10厘米，对头接时应设双排小横杆，间距不大于10厘米，在拐弯处脚手板应交叉搭接。</w:t>
      </w:r>
    </w:p>
    <w:p w14:paraId="47FDF86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20</w:t>
      </w:r>
      <w:r>
        <w:rPr>
          <w:rFonts w:hint="eastAsia" w:ascii="宋体" w:hAnsi="宋体"/>
          <w:sz w:val="21"/>
          <w:szCs w:val="21"/>
          <w:highlight w:val="none"/>
        </w:rPr>
        <w:t>、翻脚</w:t>
      </w:r>
      <w:r>
        <w:rPr>
          <w:rFonts w:hint="eastAsia" w:ascii="仿宋_GB2312"/>
          <w:sz w:val="21"/>
          <w:szCs w:val="21"/>
          <w:highlight w:val="none"/>
        </w:rPr>
        <w:t>手板应两人由里往外按顺序进行，在铺第一块或翻到最后一块脚手板时，必须挂牢安全带。</w:t>
      </w:r>
    </w:p>
    <w:p w14:paraId="2D66F63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lang w:val="en-US" w:eastAsia="zh-CN"/>
        </w:rPr>
        <w:t>21</w:t>
      </w:r>
      <w:r>
        <w:rPr>
          <w:rFonts w:hint="eastAsia" w:ascii="宋体" w:hAnsi="宋体"/>
          <w:sz w:val="21"/>
          <w:szCs w:val="21"/>
          <w:highlight w:val="none"/>
        </w:rPr>
        <w:t>、脚手架、井架等特殊架子搭设、安装完毕，必须经施工负责人、安全人员、使用班组共同验收合格后，方准使用。在拆除脚手架时，周围应设围栏或警戒标志，并设专人看管</w:t>
      </w:r>
      <w:r>
        <w:rPr>
          <w:rFonts w:hint="eastAsia" w:ascii="仿宋_GB2312"/>
          <w:sz w:val="21"/>
          <w:szCs w:val="21"/>
          <w:highlight w:val="none"/>
        </w:rPr>
        <w:t>，拆除顺序由上而下，一步一清，不准上下同时作业。</w:t>
      </w:r>
    </w:p>
    <w:p w14:paraId="3B7AAF2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2</w:t>
      </w:r>
      <w:r>
        <w:rPr>
          <w:rFonts w:hint="eastAsia" w:ascii="宋体" w:hAnsi="宋体"/>
          <w:sz w:val="21"/>
          <w:szCs w:val="21"/>
          <w:highlight w:val="none"/>
        </w:rPr>
        <w:t>、安全帽、安全带、安全网要有符合国家标准的出厂合格证，并要定期检查，不符合要求的，严禁使用。</w:t>
      </w:r>
      <w:r>
        <w:rPr>
          <w:rFonts w:hint="eastAsia" w:ascii="宋体" w:hAnsi="宋体"/>
          <w:sz w:val="21"/>
          <w:szCs w:val="21"/>
          <w:highlight w:val="none"/>
        </w:rPr>
        <w:br w:type="textWrapping"/>
      </w:r>
      <w:r>
        <w:rPr>
          <w:rFonts w:ascii="宋体" w:hAnsi="宋体"/>
          <w:sz w:val="21"/>
          <w:szCs w:val="21"/>
          <w:highlight w:val="none"/>
        </w:rPr>
        <w:t xml:space="preserve">    </w:t>
      </w:r>
      <w:r>
        <w:rPr>
          <w:rFonts w:hint="eastAsia" w:ascii="宋体" w:hAnsi="宋体"/>
          <w:sz w:val="21"/>
          <w:szCs w:val="21"/>
          <w:highlight w:val="none"/>
        </w:rPr>
        <w:t>2</w:t>
      </w:r>
      <w:r>
        <w:rPr>
          <w:rFonts w:hint="eastAsia" w:ascii="宋体" w:hAnsi="宋体"/>
          <w:sz w:val="21"/>
          <w:szCs w:val="21"/>
          <w:highlight w:val="none"/>
          <w:lang w:val="en-US" w:eastAsia="zh-CN"/>
        </w:rPr>
        <w:t>3</w:t>
      </w:r>
      <w:r>
        <w:rPr>
          <w:rFonts w:hint="eastAsia" w:ascii="宋体" w:hAnsi="宋体"/>
          <w:sz w:val="21"/>
          <w:szCs w:val="21"/>
          <w:highlight w:val="none"/>
        </w:rPr>
        <w:t>、钢管脚手不得使用有严重锈蚀、弯曲、压扁或裂纹的钢管；扣件要有出厂合格证明，有脆裂、变形、滑丝等的劣质品，禁止使用。</w:t>
      </w:r>
    </w:p>
    <w:p w14:paraId="3A6E0BB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4</w:t>
      </w:r>
      <w:r>
        <w:rPr>
          <w:rFonts w:hint="eastAsia" w:ascii="宋体" w:hAnsi="宋体"/>
          <w:sz w:val="21"/>
          <w:szCs w:val="21"/>
          <w:highlight w:val="none"/>
        </w:rPr>
        <w:t>、砌墙高度超过4米时，必须在墙外搭设能承受160公斤荷重的安全网或防护挡板。多层建筑应在二层和每隔四层设一道固定安全网同时再设一道随施工高度提升的安全网。网应外高里低，网与网之间须拼接严密，网内杂物要随时</w:t>
      </w:r>
      <w:r>
        <w:rPr>
          <w:rFonts w:hint="eastAsia" w:ascii="仿宋_GB2312"/>
          <w:sz w:val="21"/>
          <w:szCs w:val="21"/>
          <w:highlight w:val="none"/>
        </w:rPr>
        <w:t>清扫。</w:t>
      </w:r>
    </w:p>
    <w:p w14:paraId="491CCB4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5</w:t>
      </w:r>
      <w:r>
        <w:rPr>
          <w:rFonts w:hint="eastAsia" w:ascii="宋体" w:hAnsi="宋体"/>
          <w:sz w:val="21"/>
          <w:szCs w:val="21"/>
          <w:highlight w:val="none"/>
        </w:rPr>
        <w:t>、拆除脚手架和物料提升机应明确专人负责指挥，拆除前必须进行全面检查架体有无其他牵拉物，提升机与脚手架、建筑物连结情况等；拆除时指定专人警戒；拆除必须按搭设的逆顺序逐层自上而下进行，做到一步一清。严禁上下同时拆除。</w:t>
      </w:r>
    </w:p>
    <w:p w14:paraId="37BB0F2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6</w:t>
      </w:r>
      <w:r>
        <w:rPr>
          <w:rFonts w:hint="eastAsia" w:ascii="宋体" w:hAnsi="宋体"/>
          <w:sz w:val="21"/>
          <w:szCs w:val="21"/>
          <w:highlight w:val="none"/>
        </w:rPr>
        <w:t>、拆下的钢管、脚手片、扣件、密目型安全网等物体，应向下传递或用绳吊下，禁止往下抛拂。</w:t>
      </w:r>
    </w:p>
    <w:p w14:paraId="3AEA027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7</w:t>
      </w:r>
      <w:r>
        <w:rPr>
          <w:rFonts w:hint="eastAsia" w:ascii="宋体" w:hAnsi="宋体"/>
          <w:sz w:val="21"/>
          <w:szCs w:val="21"/>
          <w:highlight w:val="none"/>
        </w:rPr>
        <w:t>、钢管、脚手片、扣件、安全网等分门别类，整齐堆放，挂设标牌。</w:t>
      </w:r>
    </w:p>
    <w:p w14:paraId="76CFD1A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8</w:t>
      </w:r>
      <w:r>
        <w:rPr>
          <w:rFonts w:hint="eastAsia" w:ascii="宋体" w:hAnsi="宋体"/>
          <w:sz w:val="21"/>
          <w:szCs w:val="21"/>
          <w:highlight w:val="none"/>
        </w:rPr>
        <w:t>、脚手架搭设后，必须申请验收。</w:t>
      </w:r>
    </w:p>
    <w:p w14:paraId="778A925F">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9" w:name="_Toc20544"/>
      <w:bookmarkStart w:id="30" w:name="_Toc25520"/>
      <w:bookmarkStart w:id="31" w:name="_Toc11390"/>
      <w:r>
        <w:rPr>
          <w:rFonts w:hint="eastAsia" w:ascii="宋体" w:hAnsi="宋体" w:cs="宋体"/>
          <w:b/>
          <w:bCs/>
          <w:sz w:val="21"/>
          <w:szCs w:val="21"/>
          <w:highlight w:val="none"/>
        </w:rPr>
        <w:t>第四节 起重工安全操作规程</w:t>
      </w:r>
      <w:bookmarkEnd w:id="29"/>
      <w:bookmarkEnd w:id="30"/>
      <w:bookmarkEnd w:id="31"/>
    </w:p>
    <w:p w14:paraId="4F6F3807">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1、所有人员禁止在起重臂和吊起的重物下面停留或行走。</w:t>
      </w:r>
    </w:p>
    <w:p w14:paraId="71AA969B">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2、使用卡环应使用长度方向受力，抽销卡环应预防销子滑脱，有缺陷的卡环严禁使用。</w:t>
      </w:r>
    </w:p>
    <w:p w14:paraId="04BD3F5C">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3、起重物件应使用交互捻制的钢丝绳。钢丝绳如有扭结、变形、断丝、锈蚀等异常现象，应及时降低使用标准或报废。</w:t>
      </w:r>
    </w:p>
    <w:p w14:paraId="0687F4D6">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4、使用三根以上绳扣吊装时，绳扣间的夹角如大于100度，应采取防止滑钩等措施。</w:t>
      </w:r>
    </w:p>
    <w:p w14:paraId="3BF63DC6">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5、起吊物件，应合理设置溜绳。</w:t>
      </w:r>
    </w:p>
    <w:p w14:paraId="3DA86876">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6、司机必须听从指挥人员指挥，当指挥信号不明时。司机应发出“重复”信号询问，明确指挥意图后，方可开车。</w:t>
      </w:r>
    </w:p>
    <w:p w14:paraId="2DE0A5B0">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7、风力五级以上时停止吊装。</w:t>
      </w:r>
    </w:p>
    <w:p w14:paraId="52CE89C9">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8、对起重机司机和指挥人员，必须由有关部门进行标准的安全技术培训。经考试合格，取得合格证后方能操作指挥。</w:t>
      </w:r>
    </w:p>
    <w:p w14:paraId="3405B7C5">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黑体" w:eastAsia="黑体"/>
          <w:bCs/>
          <w:color w:val="000000"/>
          <w:sz w:val="21"/>
          <w:szCs w:val="21"/>
          <w:highlight w:val="none"/>
        </w:rPr>
      </w:pPr>
      <w:bookmarkStart w:id="32" w:name="_Toc13034"/>
      <w:bookmarkStart w:id="33" w:name="_Toc15916"/>
      <w:bookmarkStart w:id="34" w:name="_Toc13903"/>
      <w:r>
        <w:rPr>
          <w:rFonts w:hint="eastAsia" w:ascii="宋体" w:hAnsi="宋体" w:cs="宋体"/>
          <w:b/>
          <w:bCs/>
          <w:sz w:val="21"/>
          <w:szCs w:val="21"/>
          <w:highlight w:val="none"/>
        </w:rPr>
        <w:t>第五节 木工安全操作规程</w:t>
      </w:r>
      <w:bookmarkEnd w:id="32"/>
      <w:bookmarkEnd w:id="33"/>
      <w:bookmarkEnd w:id="34"/>
    </w:p>
    <w:p w14:paraId="335C2F35">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仿宋_GB2312"/>
          <w:sz w:val="21"/>
          <w:szCs w:val="21"/>
          <w:highlight w:val="none"/>
        </w:rPr>
      </w:pPr>
      <w:r>
        <w:rPr>
          <w:rFonts w:hint="eastAsia" w:ascii="宋体" w:hAnsi="宋体"/>
          <w:color w:val="000000"/>
          <w:sz w:val="21"/>
          <w:szCs w:val="21"/>
          <w:highlight w:val="none"/>
        </w:rPr>
        <w:t>1、模板支撑不得使用腐朽、扭裂、劈裂的材料。顶撑要垂直，底端平整坚实，并加垫木。木楔要钉牢，并用横顺拉杆和剪刀撑拉牢。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2、采用行架支模应严格检查，发现严重变形、螺栓松动等应及时修复。</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3、支模应按工序进行，模板没有固定前，不得进行下道工序。禁止利用拉杆、支撑攀登上下。</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4、支设4米以上的立柱模板，四周必须顶牢，操作时要搭设工作台，不足4米的，可使用马凳操作。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5、支设独立梁、柱模应设临时工作台，不得站在柱模上操作和在梁模上行走。</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6、拆除模板应经施工技术人员同意。操作时应按顺序分段进行，严禁猛撬、硬砸或大面积撬落和拉倒。完工前，不得留下松动和悬挂的模板，拆下的模板应及时运送到指定地点集中堆放。</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7、拆除薄腹梁、吊车梁、行架等预制构件模板，应随拆随加顶撑支牢。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8、在深度大于2米的基坑边操作，应有防护网、护身栏等防护措施。</w:t>
      </w:r>
    </w:p>
    <w:p w14:paraId="2E71B6B6">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5" w:name="_Toc20452"/>
      <w:bookmarkStart w:id="36" w:name="_Toc8955"/>
      <w:bookmarkStart w:id="37" w:name="_Toc8670"/>
      <w:r>
        <w:rPr>
          <w:rFonts w:hint="eastAsia" w:ascii="宋体" w:hAnsi="宋体" w:cs="宋体"/>
          <w:b/>
          <w:bCs/>
          <w:sz w:val="21"/>
          <w:szCs w:val="21"/>
          <w:highlight w:val="none"/>
        </w:rPr>
        <w:t>第六节 钢筋工安全操作规程</w:t>
      </w:r>
      <w:bookmarkEnd w:id="35"/>
      <w:bookmarkEnd w:id="36"/>
      <w:bookmarkEnd w:id="37"/>
    </w:p>
    <w:p w14:paraId="1DFFBC3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1、钢材、半成品等应按规格、品种分别堆放整齐，制作场地要平整，工作台要稳固，照明灯具必须加网罩。</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2、拉直钢筋时，卡头要卡牢，地锚要结实牢固，拉筋沿线2米区域内禁止行人。人工绞磨拉直，不准用胸、肚接触推杠，应缓慢松解，不得一次松开。</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3、展开盘圆钢筋要一端卡牢，防止回弹，切断时要先用脚踩紧。</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4、多人合运钢筋，起、落、转、停等动作要一致，人工上下传送不得在同一垂直线上。钢筋堆放要分散、稳当，防止倾倒和塌落。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5、在高空、深坑绑扎钢筋和安装骨架，须搭设脚手架和马道。</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6、绑扎立柱、墙体钢筋时，不得站在钢筋骨架上和攀登骨架上下。</w:t>
      </w:r>
    </w:p>
    <w:p w14:paraId="080C72E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hAnsi="_x000B__x000C_"/>
          <w:b/>
          <w:bCs/>
          <w:sz w:val="21"/>
          <w:szCs w:val="21"/>
          <w:highlight w:val="none"/>
        </w:rPr>
      </w:pPr>
      <w:r>
        <w:rPr>
          <w:rFonts w:hint="eastAsia" w:ascii="宋体" w:hAnsi="宋体"/>
          <w:color w:val="000000"/>
          <w:sz w:val="21"/>
          <w:szCs w:val="21"/>
          <w:highlight w:val="none"/>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绑扎基础钢筋时，应按施工设计规定摆放钢筋支架或马凳架起上部钢筋，不得任意减少支架或马凳。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8、绑扎建筑高处的钢筋时，应根据具体情况安全网、挂安全带。</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9、起吊钢筋骨架时，下方禁止站人。必须待骨架降落到离地1米以内方准靠近，就位支撑好方可摘钩。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10、绑扎立柱、墙体钢筋时，不准将木棒或横木插入钢筋骨架内，并坐在木棒或横木上操作。钢筋超长时，捆扎应牢固。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、在操作平台上堆放钢筋或物料应牢靠，操作工具不用时，必须装在工具袋内，以防坠物伤人。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12、使用钢筋冷拉机、切断机、弯曲机，应遵守钢筋机械安全技术操作规程，先检查后使用，使用后切断电源，设备应做好十字作业（清洁、润滑、调整、紧固、防腐）。 </w:t>
      </w:r>
    </w:p>
    <w:p w14:paraId="4BA2003C">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8" w:name="_Toc22841"/>
      <w:bookmarkStart w:id="39" w:name="_Toc1899"/>
      <w:bookmarkStart w:id="40" w:name="_Toc17514"/>
      <w:r>
        <w:rPr>
          <w:rFonts w:hint="eastAsia" w:ascii="宋体" w:hAnsi="宋体" w:cs="宋体"/>
          <w:b/>
          <w:bCs/>
          <w:sz w:val="21"/>
          <w:szCs w:val="21"/>
          <w:highlight w:val="none"/>
        </w:rPr>
        <w:t>第七节 混凝土工安全操作规程</w:t>
      </w:r>
      <w:bookmarkEnd w:id="38"/>
      <w:bookmarkEnd w:id="39"/>
      <w:bookmarkEnd w:id="40"/>
    </w:p>
    <w:p w14:paraId="6FD36A0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1、车子向料斗倒料，应有挡车措施，不得用力过猛和撒把。</w:t>
      </w:r>
    </w:p>
    <w:p w14:paraId="6D0061E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2、浇灌混凝土时，应设操作台，不得直接站在模板或支撑上操作。</w:t>
      </w:r>
    </w:p>
    <w:p w14:paraId="5CB1FBC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color w:val="000000"/>
          <w:sz w:val="21"/>
          <w:szCs w:val="21"/>
          <w:highlight w:val="none"/>
        </w:rPr>
        <w:t>3、使用振动棒应穿胶鞋戴绝缘手套，湿手不得接触开关，电源线不得有破皮漏电。</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4、浇灌时使用的溜槽及串筒节间必须连接牢固。操作部位应有护身栏杆，不准直接站在溜槽板上操作。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bCs/>
          <w:sz w:val="21"/>
          <w:szCs w:val="21"/>
          <w:highlight w:val="none"/>
        </w:rPr>
        <w:t xml:space="preserve">5、混凝土搅拌机在运行中，任何人不得将工具伸入筒内清料，进料斗升起时，严禁任何人在料斗下通过或停留。     </w:t>
      </w:r>
    </w:p>
    <w:p w14:paraId="3AFB574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bCs/>
          <w:sz w:val="21"/>
          <w:szCs w:val="21"/>
          <w:highlight w:val="none"/>
        </w:rPr>
        <w:t>6、混凝土机停用时，升起的料斗应插上安全插销，或挂上保险链。</w:t>
      </w:r>
    </w:p>
    <w:p w14:paraId="4046935D">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1" w:name="_Toc1069"/>
      <w:bookmarkStart w:id="42" w:name="_Toc6115"/>
      <w:bookmarkStart w:id="43" w:name="_Toc12747"/>
      <w:r>
        <w:rPr>
          <w:rFonts w:hint="eastAsia" w:ascii="宋体" w:hAnsi="宋体" w:cs="宋体"/>
          <w:b/>
          <w:bCs/>
          <w:sz w:val="21"/>
          <w:szCs w:val="21"/>
          <w:highlight w:val="none"/>
        </w:rPr>
        <w:t>第八节 装载机安全驾驶操作规程</w:t>
      </w:r>
      <w:bookmarkEnd w:id="41"/>
      <w:bookmarkEnd w:id="42"/>
      <w:bookmarkEnd w:id="43"/>
    </w:p>
    <w:p w14:paraId="2467237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3509276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1、检查燃油、冷却水及润滑油情况</w:t>
      </w:r>
    </w:p>
    <w:p w14:paraId="25A662F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2、检查行车、驻车制动可靠性。</w:t>
      </w:r>
    </w:p>
    <w:p w14:paraId="3167D2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3、检查空载时铲斗系统运行情况。</w:t>
      </w:r>
    </w:p>
    <w:p w14:paraId="0E03C07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4、检查叉车检查内容中与装载机有关的项目。  </w:t>
      </w:r>
    </w:p>
    <w:p w14:paraId="582F088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3D63FA2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l、起步前观察四周，确认无妨碍安全行车的障碍后，先鸣笛，再起步。  </w:t>
      </w:r>
    </w:p>
    <w:p w14:paraId="6986312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2、制动气压表读数达到规定值方可起步。</w:t>
      </w:r>
    </w:p>
    <w:p w14:paraId="58B48BF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3、起步时不得突然加速，应平稳起步。</w:t>
      </w:r>
    </w:p>
    <w:p w14:paraId="2CF48FB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32684A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1、行驶前取下前后车体安全联接杆，并妥善保管。</w:t>
      </w:r>
    </w:p>
    <w:p w14:paraId="41ADCA6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2、在坡道上行驶时，应使拖起动操纵杆处于接通位置，拖起动必须是正向行驶。</w:t>
      </w:r>
    </w:p>
    <w:p w14:paraId="2214DC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3、改变行驶方向及变换驱动操纵杆必须在车停后进行。</w:t>
      </w:r>
    </w:p>
    <w:p w14:paraId="495399B0">
      <w:pPr>
        <w:pageBreakBefore w:val="0"/>
        <w:shd w:val="clear"/>
        <w:kinsoku/>
        <w:wordWrap/>
        <w:overflowPunct/>
        <w:autoSpaceDE/>
        <w:autoSpaceDN/>
        <w:bidi w:val="0"/>
        <w:adjustRightInd w:val="0"/>
        <w:snapToGrid w:val="0"/>
        <w:spacing w:line="360" w:lineRule="auto"/>
        <w:ind w:left="210" w:leftChars="100" w:firstLine="210" w:firstLineChars="100"/>
        <w:textAlignment w:val="auto"/>
        <w:rPr>
          <w:rFonts w:ascii="宋体" w:hAnsi="宋体"/>
          <w:sz w:val="21"/>
          <w:szCs w:val="21"/>
          <w:highlight w:val="none"/>
        </w:rPr>
      </w:pPr>
      <w:r>
        <w:rPr>
          <w:rFonts w:hint="eastAsia" w:ascii="宋体" w:hAnsi="宋体"/>
          <w:sz w:val="21"/>
          <w:szCs w:val="21"/>
          <w:highlight w:val="none"/>
        </w:rPr>
        <w:t>4、运载物料时，应保持动臂下铰点离地面400mm以上。不得将铲斗提升到最高位置运送物料。</w:t>
      </w:r>
    </w:p>
    <w:p w14:paraId="6DA33929">
      <w:pPr>
        <w:pageBreakBefore w:val="0"/>
        <w:shd w:val="clear"/>
        <w:kinsoku/>
        <w:wordWrap/>
        <w:overflowPunct/>
        <w:autoSpaceDE/>
        <w:autoSpaceDN/>
        <w:bidi w:val="0"/>
        <w:adjustRightInd w:val="0"/>
        <w:snapToGrid w:val="0"/>
        <w:spacing w:line="360" w:lineRule="auto"/>
        <w:textAlignment w:val="auto"/>
        <w:rPr>
          <w:rFonts w:ascii="宋体" w:hAnsi="宋体"/>
          <w:sz w:val="21"/>
          <w:szCs w:val="21"/>
          <w:highlight w:val="none"/>
        </w:rPr>
      </w:pPr>
      <w:r>
        <w:rPr>
          <w:rFonts w:hint="eastAsia" w:ascii="宋体" w:hAnsi="宋体"/>
          <w:sz w:val="21"/>
          <w:szCs w:val="21"/>
          <w:highlight w:val="none"/>
        </w:rPr>
        <w:t xml:space="preserve">    5、应尽量避免在斜坡横向行驶及铲装物料。</w:t>
      </w:r>
    </w:p>
    <w:p w14:paraId="14B749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四、装卸作业</w:t>
      </w:r>
    </w:p>
    <w:p w14:paraId="2A7D138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1、发动机的水温及润滑油温度达到规定值时方可进行全负，荷作业，当水温、油温超过363K(90℃)时应停车，查找原因，待水温低于363K(90℃)时方可作业，否则会损坏发动机。</w:t>
      </w:r>
    </w:p>
    <w:p w14:paraId="34DBC66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2、禁止在前后车体形成角度时铲装货物。取货前，应使前后车体形成直线，对正并靠近货堆，同时使铲斗平行接触地面，然后取货。</w:t>
      </w:r>
    </w:p>
    <w:p w14:paraId="6A207ED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3、除散粮以外，不准用高速档取货。</w:t>
      </w:r>
    </w:p>
    <w:p w14:paraId="0FDECC0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4、不准边行驶边起升铲斗。</w:t>
      </w:r>
    </w:p>
    <w:p w14:paraId="32F6AB8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5、铲斗铲装货物应均衡，不准铲斗偏重装载货物。</w:t>
      </w:r>
    </w:p>
    <w:p w14:paraId="501C38A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6、装载车是用来进行装载及短途运输散装物料的车辆，禁止用铲斗进行挖掘作业。</w:t>
      </w:r>
    </w:p>
    <w:p w14:paraId="52501CD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7、驾驶员离车前，应将铲斗放到地面，禁止在铲斗悬空时驾驶员离车。</w:t>
      </w:r>
    </w:p>
    <w:p w14:paraId="7D6A504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8、起升的铲斗下面严禁站人或进行检修作业。若必须在铲斗起升时检修车辆，应对铲斗采取支撑措施，并保证牢固可靠。</w:t>
      </w:r>
    </w:p>
    <w:p w14:paraId="0281078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9、禁止用铲斗举升人员从事高处作业。</w:t>
      </w:r>
    </w:p>
    <w:p w14:paraId="6A7ED47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10、禁止在码头岸边直接铲装船上的物料。</w:t>
      </w:r>
    </w:p>
    <w:p w14:paraId="25A8632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、在架空管线下面作业，铲斗起升时应注意不要碰到上方的障碍物，在高压输电线路下面作业时，铲斗还应与输电线保持足够的安全距离。</w:t>
      </w:r>
    </w:p>
    <w:p w14:paraId="77EC045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在为载重汽车倾卸物料，铲斗前翻时不得刮碰车辆，卸载动作要缓和。在卸车作业时，应注意铲斗不要刮碰车厢。在推运或刮平作业中，应随时观察运行情况，发现车辆前进受阻，应审慎操作，不得强行前进。</w:t>
      </w:r>
    </w:p>
    <w:p w14:paraId="768CB13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13、停车后应将换向操纵杆放到中央位置，将前后车体安全联接杆安装好。</w:t>
      </w:r>
    </w:p>
    <w:p w14:paraId="35120817">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4" w:name="_Toc7309"/>
      <w:bookmarkStart w:id="45" w:name="_Toc26422"/>
      <w:bookmarkStart w:id="46" w:name="_Toc23042"/>
      <w:r>
        <w:rPr>
          <w:rFonts w:hint="eastAsia" w:ascii="宋体" w:hAnsi="宋体" w:cs="宋体"/>
          <w:b/>
          <w:bCs/>
          <w:sz w:val="21"/>
          <w:szCs w:val="21"/>
          <w:highlight w:val="none"/>
        </w:rPr>
        <w:t>第九节 挖掘机安全驾驶操作规程</w:t>
      </w:r>
      <w:bookmarkEnd w:id="44"/>
      <w:bookmarkEnd w:id="45"/>
      <w:bookmarkEnd w:id="46"/>
    </w:p>
    <w:p w14:paraId="3BEFBF9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374C368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按规定项目、标准检查挖掘机各部技术状况处于完好状态。</w:t>
      </w:r>
    </w:p>
    <w:p w14:paraId="4FD2EED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2A36B0E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起步前，应将铲斗放在车架上，：收回长杆，插好平台与车架的固定插销，支腿处于可靠的收回状态；插好连接平台与车架电路的插头，接通电源，确认各仪表指示正常。</w:t>
      </w:r>
    </w:p>
    <w:p w14:paraId="2F3CBAF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起步时应先观察四周，先鸣笛，后起步，以防伤人。</w:t>
      </w:r>
    </w:p>
    <w:p w14:paraId="7C2B6BC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挖掘机移动时；应注意前后环境状况，以防碰到电线或其它设施。</w:t>
      </w:r>
    </w:p>
    <w:p w14:paraId="7F5EA95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2D67C31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下坡行驶时，严禁发动机熄火滑行和空档滑行。</w:t>
      </w:r>
    </w:p>
    <w:p w14:paraId="2103728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不得在斜坡路面上横向行驶。</w:t>
      </w:r>
    </w:p>
    <w:p w14:paraId="0155F99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严禁在铲斗内载人、载物行驶。</w:t>
      </w:r>
    </w:p>
    <w:p w14:paraId="7A44FD37">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 xml:space="preserve">通过泥泞、冰雪、松软路面以及坡度较大的道路时，应使前、后桥同时驱动。 </w:t>
      </w:r>
    </w:p>
    <w:p w14:paraId="2E81E1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恶劣天气能见度在5m以内或道路最大纵坡在6％以上，能见度在10m以内时，应停止行驶。</w:t>
      </w:r>
    </w:p>
    <w:p w14:paraId="3F66620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四、进入作业现场</w:t>
      </w:r>
    </w:p>
    <w:p w14:paraId="58923F0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停机处的地面应平整、坚实可靠。</w:t>
      </w:r>
    </w:p>
    <w:p w14:paraId="145FAF5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铲斗回转半径范围内不应有其它设施妨碍铲斗作业。</w:t>
      </w:r>
    </w:p>
    <w:p w14:paraId="6C1ABC60">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严禁铲斗回转半径范围内有人员停留。</w:t>
      </w:r>
    </w:p>
    <w:p w14:paraId="47C9CF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应尽量避免在高压输电线路下面作业。无法避免在高压输电线路下面作业时，铲斗与电线间的安全距离应符合有关规定。</w:t>
      </w:r>
    </w:p>
    <w:p w14:paraId="06EFA34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若需挖掘机边移动边挖掘时，应选择无碍安全的挖掘路线，否则须采取安全措施后方可进行作业。</w:t>
      </w:r>
    </w:p>
    <w:p w14:paraId="236D067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五、挖掘作业</w:t>
      </w:r>
    </w:p>
    <w:p w14:paraId="341068A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作业时应将支腿支稳垫牢，后轮胎略为离地；将前后轮制动，并将平台周围无关物品清除干净。</w:t>
      </w:r>
    </w:p>
    <w:p w14:paraId="45887440">
      <w:pPr>
        <w:pageBreakBefore w:val="0"/>
        <w:shd w:val="clear"/>
        <w:kinsoku/>
        <w:wordWrap/>
        <w:overflowPunct/>
        <w:autoSpaceDE/>
        <w:autoSpaceDN/>
        <w:bidi w:val="0"/>
        <w:adjustRightInd w:val="0"/>
        <w:snapToGrid w:val="0"/>
        <w:spacing w:line="360" w:lineRule="auto"/>
        <w:ind w:firstLine="210" w:firstLineChars="1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w:t>
      </w:r>
      <w:r>
        <w:rPr>
          <w:rFonts w:hint="eastAsia" w:ascii="宋体" w:hAnsi="宋体"/>
          <w:sz w:val="21"/>
          <w:szCs w:val="21"/>
          <w:highlight w:val="none"/>
        </w:rPr>
        <w:t>在开挖前应该检查公用地下设施(管道，电缆等)的位置。不允许挖掘机在还需要保留的地下设施附近作业。</w:t>
      </w:r>
    </w:p>
    <w:p w14:paraId="6A85E7F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挖出的沟土不应抛到沟边，应随挖随将土运走。</w:t>
      </w:r>
    </w:p>
    <w:p w14:paraId="0EAEAC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如有两台挖掘机同时作业时，互相应保持一定的安全距离，防止臂架相互碰撞。</w:t>
      </w:r>
    </w:p>
    <w:p w14:paraId="6F3FF21F">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 xml:space="preserve"> 在斜坡上作业时，要用铰盘钢丝绳将挖掘机拖住。</w:t>
      </w:r>
    </w:p>
    <w:p w14:paraId="2A8F3244">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铲斗落地和升起操作不得过猛；平台的起动、回转、停止等操作应缓慢平稳；卸料时，铲斗不得经越或停留在运输车辆驾驶室的上方，铲斗不得与车辆的任何部位接触。</w:t>
      </w:r>
    </w:p>
    <w:p w14:paraId="0BFC587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 xml:space="preserve"> 挖掘机在挖比较深的基槽、地沟时，机身窝边口应不少于3m，并用坚木垫实机身，方可进行作业。</w:t>
      </w:r>
    </w:p>
    <w:p w14:paraId="23BF3038">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sz w:val="21"/>
          <w:szCs w:val="21"/>
          <w:highlight w:val="none"/>
        </w:rPr>
      </w:pPr>
      <w:bookmarkStart w:id="47" w:name="_Toc12038"/>
      <w:bookmarkStart w:id="48" w:name="_Toc27549"/>
      <w:bookmarkStart w:id="49" w:name="_Toc28105"/>
      <w:r>
        <w:rPr>
          <w:rFonts w:hint="eastAsia" w:ascii="宋体" w:hAnsi="宋体" w:cs="宋体"/>
          <w:b/>
          <w:bCs/>
          <w:sz w:val="21"/>
          <w:szCs w:val="21"/>
          <w:highlight w:val="none"/>
        </w:rPr>
        <w:t>第十节 推土机安全驾驶操作规程</w:t>
      </w:r>
      <w:bookmarkEnd w:id="47"/>
      <w:bookmarkEnd w:id="48"/>
      <w:bookmarkEnd w:id="49"/>
    </w:p>
    <w:p w14:paraId="6CCDB2B0">
      <w:pPr>
        <w:pageBreakBefore w:val="0"/>
        <w:shd w:val="clear"/>
        <w:kinsoku/>
        <w:wordWrap/>
        <w:overflowPunct/>
        <w:autoSpaceDE/>
        <w:autoSpaceDN/>
        <w:bidi w:val="0"/>
        <w:adjustRightInd w:val="0"/>
        <w:snapToGrid w:val="0"/>
        <w:spacing w:line="360" w:lineRule="auto"/>
        <w:ind w:left="105" w:leftChars="50" w:firstLine="420" w:firstLineChars="200"/>
        <w:textAlignment w:val="auto"/>
        <w:rPr>
          <w:rFonts w:ascii="宋体" w:hAnsi="宋体"/>
          <w:sz w:val="21"/>
          <w:szCs w:val="21"/>
          <w:highlight w:val="none"/>
        </w:rPr>
      </w:pPr>
      <w:r>
        <w:rPr>
          <w:rFonts w:hint="eastAsia" w:ascii="宋体" w:hAnsi="宋体"/>
          <w:sz w:val="21"/>
          <w:szCs w:val="21"/>
          <w:highlight w:val="none"/>
        </w:rPr>
        <w:t>推土机的行走部分是由履带来完成的，它实际上是由履带式拖拉机加上推土铲组装而成，它的作用主要是在施工现场推平地面。</w:t>
      </w:r>
    </w:p>
    <w:p w14:paraId="49A7E7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1B8ABC4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检查车辆燃油、冷却水、润滑油情况。</w:t>
      </w:r>
    </w:p>
    <w:p w14:paraId="036E1B5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检查履带销钉有无窜出现象。  </w:t>
      </w:r>
    </w:p>
    <w:p w14:paraId="662EF5C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检查推土铲运转情况。</w:t>
      </w:r>
    </w:p>
    <w:p w14:paraId="60E121A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检查液压系统运行及密封件的漏油情况。</w:t>
      </w:r>
    </w:p>
    <w:p w14:paraId="18A64F2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运行时，随时注意车辆的压力及温度。</w:t>
      </w:r>
    </w:p>
    <w:p w14:paraId="664654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二、起步</w:t>
      </w:r>
    </w:p>
    <w:p w14:paraId="09731CD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起步前观察四周是否有人，尤其是倒车时更应加强观察，同时应观察履带上是否有其它物品，确认安全后，应低速、平稳起步。</w:t>
      </w:r>
    </w:p>
    <w:p w14:paraId="422FF89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三、作业   </w:t>
      </w:r>
    </w:p>
    <w:p w14:paraId="66A4BC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作业时应选择适宜的铲推路线，在清理作业现场时，应能保证车辆无下陷、倾覆等危险。</w:t>
      </w:r>
    </w:p>
    <w:p w14:paraId="1F492E40">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在向高坡(或坑、沟)推土接近边缘时，推土铲不得轻易提升，应在挂上倒车档后，提铲倒车。</w:t>
      </w:r>
    </w:p>
    <w:p w14:paraId="1280CCDA">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推土机上坡行驶不得超过25°，下坡行驶不得超过35°，推土机不得在坡度大于10°的坡路上横向作业，并不得在陡坡上进行转弯。下坡行驶不准空档滑行。</w:t>
      </w:r>
    </w:p>
    <w:p w14:paraId="29855650">
      <w:pPr>
        <w:pageBreakBefore w:val="0"/>
        <w:shd w:val="clear"/>
        <w:kinsoku/>
        <w:wordWrap/>
        <w:overflowPunct/>
        <w:autoSpaceDE/>
        <w:autoSpaceDN/>
        <w:bidi w:val="0"/>
        <w:adjustRightInd w:val="0"/>
        <w:snapToGrid w:val="0"/>
        <w:spacing w:line="360" w:lineRule="auto"/>
        <w:ind w:left="134" w:leftChars="64"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用推土机清除高于机体并埋在地下的物体时，应有安全防范措施，要在选择好有利的进退路线后，方可作业。</w:t>
      </w:r>
    </w:p>
    <w:p w14:paraId="6B5D63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5、</w:t>
      </w:r>
      <w:r>
        <w:rPr>
          <w:rFonts w:hint="eastAsia" w:ascii="宋体" w:hAnsi="宋体"/>
          <w:sz w:val="21"/>
          <w:szCs w:val="21"/>
          <w:highlight w:val="none"/>
        </w:rPr>
        <w:t>夜间作业时，现场应有良好的照明。</w:t>
      </w:r>
    </w:p>
    <w:p w14:paraId="5B446E3C">
      <w:pPr>
        <w:pageBreakBefore w:val="0"/>
        <w:shd w:val="clear"/>
        <w:kinsoku/>
        <w:wordWrap/>
        <w:overflowPunct/>
        <w:autoSpaceDE/>
        <w:autoSpaceDN/>
        <w:bidi w:val="0"/>
        <w:adjustRightInd w:val="0"/>
        <w:snapToGrid w:val="0"/>
        <w:spacing w:line="360" w:lineRule="auto"/>
        <w:ind w:left="149" w:leftChars="71"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推土机在作业时，严禁人员上下。</w:t>
      </w:r>
    </w:p>
    <w:p w14:paraId="23B67F6F">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50" w:name="_Toc15362"/>
      <w:bookmarkStart w:id="51" w:name="_Toc2643"/>
      <w:bookmarkStart w:id="52" w:name="_Toc1792"/>
      <w:r>
        <w:rPr>
          <w:rFonts w:hint="eastAsia" w:ascii="宋体" w:hAnsi="宋体" w:cs="宋体"/>
          <w:b/>
          <w:bCs/>
          <w:sz w:val="21"/>
          <w:szCs w:val="21"/>
          <w:highlight w:val="none"/>
        </w:rPr>
        <w:t>第十一节 机械操作工安全操作规程</w:t>
      </w:r>
      <w:bookmarkEnd w:id="50"/>
      <w:bookmarkEnd w:id="51"/>
      <w:bookmarkEnd w:id="52"/>
    </w:p>
    <w:p w14:paraId="75A02809">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（一）压刨、园盘锯安全操作规程</w:t>
      </w:r>
    </w:p>
    <w:p w14:paraId="2A35DE6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1、机床只准采用单向开关，不准使用倒顺双向开关，三、四面刨，要按规定程序开动。</w:t>
      </w:r>
    </w:p>
    <w:p w14:paraId="500C501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2、送料、接料不准戴手套，并应站在机床一侧</w:t>
      </w:r>
      <w:r>
        <w:rPr>
          <w:rFonts w:ascii="仿宋_GB2312"/>
          <w:sz w:val="21"/>
          <w:szCs w:val="21"/>
          <w:highlight w:val="none"/>
        </w:rPr>
        <w:t>,</w:t>
      </w:r>
      <w:r>
        <w:rPr>
          <w:rFonts w:hint="eastAsia" w:ascii="仿宋_GB2312"/>
          <w:sz w:val="21"/>
          <w:szCs w:val="21"/>
          <w:highlight w:val="none"/>
        </w:rPr>
        <w:t>刨削量每次不得超过5mm。</w:t>
      </w:r>
    </w:p>
    <w:p w14:paraId="12A554C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3、必须平直发现料走横或卡住，应停机降低台面拨正，遇硬节减慢速度，送料时手必须离开滚筒10厘米以外，接料必须待料走出台面。</w:t>
      </w:r>
    </w:p>
    <w:p w14:paraId="175917B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4、料长度不得短于前后压滚距离；厚度小于l厘米的木料，必须垫托板。</w:t>
      </w:r>
    </w:p>
    <w:p w14:paraId="4D1B1B6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5、锯护罩要齐全，不得随意拆除。</w:t>
      </w:r>
    </w:p>
    <w:p w14:paraId="7195316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6、操作前应进行检查，锯片不得有裂口，螺丝应上紧。</w:t>
      </w:r>
    </w:p>
    <w:p w14:paraId="0DF045C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7、操作要戴防护镜，站在锯片一侧，禁止站在锯片同一直线上，手臂不得跨越锯片。遇硬节慢推，接料要待料出锯片15厘米，不得用手硬拉。</w:t>
      </w:r>
    </w:p>
    <w:p w14:paraId="0A436F0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8、短窄料应用推棍，接料使用刨钩。</w:t>
      </w:r>
    </w:p>
    <w:p w14:paraId="6C36A05B">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（二）钢筋冷拉机安全操作规程</w:t>
      </w:r>
    </w:p>
    <w:p w14:paraId="70D2F22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1、根据冷拉钢筋的直径，合理选用卷扬机，卷扬钢丝绳应经封闭式导向滑轮并和被拉钢筋方向成直角。卷扬机的位置必须使操作人员能见到全部冷拉场地，距离冷拉中线不少于5m。</w:t>
      </w:r>
    </w:p>
    <w:p w14:paraId="1EC9FB1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2、冷拉场地在两端地锚外侧设置警戒区，装设防护栏杆及警告标志。严禁无关人员在此停留。操作人员在作业时必须离开钢筋至少2m以外。</w:t>
      </w:r>
    </w:p>
    <w:p w14:paraId="5EA28C4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3、用配重控制的设备必须与滑轮匹配，并有指示起落的记号，没有指示记号时应有专人指挥。配重物提起时高度应限制在离地面300mm以内，配重架四周应有栏杆及警告标志。</w:t>
      </w:r>
    </w:p>
    <w:p w14:paraId="4F86538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4、作业前，应检查冷拉夹具，夹齿必须完好，滑轮、拖拉小车润滑灵活，拉钩、地锚及防护装置均应齐全牢固，确认良好后，方可作业。</w:t>
      </w:r>
    </w:p>
    <w:p w14:paraId="0897921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5、卷扬机操作人员必须看到指挥人员发出信号，并待所有人员离开危险区后方可作业。冷拉应缓慢、均匀地进行，随时注意停车信号或见到有人进入危险区时，应立即停拉，并稍稍放松卷扬钢丝绳。</w:t>
      </w:r>
    </w:p>
    <w:p w14:paraId="701AE5E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6、用延伸率控制的装置，必须装明显的限位标志，并要有专人负责指挥。</w:t>
      </w:r>
    </w:p>
    <w:p w14:paraId="1C05676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7、夜间工作照明设施，应设在张拉危险区外，如必须装设在场地上空时，其高度应超过5m，灯泡应加防护罩，导线不得用裸线。</w:t>
      </w:r>
    </w:p>
    <w:p w14:paraId="589D3AC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8、作业后，应放松卷扬钢丝绳，落下配重，切断电源，锁好电闸箱。</w:t>
      </w:r>
    </w:p>
    <w:p w14:paraId="7D975EE0">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（三）钢筋切断机安全操作规程</w:t>
      </w:r>
    </w:p>
    <w:p w14:paraId="4DB99B6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1、接送料工作台面应和切刀下部保持水平，工作台的长度可根据加工材料长度决定。</w:t>
      </w:r>
    </w:p>
    <w:p w14:paraId="74C490C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2、启动前，必须检查切刀应无裂纹，刀架螺栓紧固，防护罩牢靠，然后用手转动皮带轮，检查齿轮啮合间隙，调整切刀间隙。</w:t>
      </w:r>
    </w:p>
    <w:p w14:paraId="431FE3E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3、启动后先空转，检查各传动部分及轴承运转正常后方可作业。</w:t>
      </w:r>
    </w:p>
    <w:p w14:paraId="3C64F70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4、机械未达到正常运转速时不得切料，切料时必须使用切刀的中下部位，紧握钢筋对准切口迅速送入。</w:t>
      </w:r>
    </w:p>
    <w:p w14:paraId="0B26051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5、切断短料时，手和切刀之间的距离应保持150mm以上，如手握端小于40mm时应用套管或夹具将钢筋短头压住或夹牢。</w:t>
      </w:r>
    </w:p>
    <w:p w14:paraId="1128839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6、发现机械运转不正常有异响或切刀歪斜等情况，应立即停机检修。</w:t>
      </w:r>
    </w:p>
    <w:p w14:paraId="7E708DF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7、作业后用钢刷清除切刀间的杂物，进行整机清洁保养。</w:t>
      </w:r>
    </w:p>
    <w:p w14:paraId="2EEC779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8、必须严格按操作规程操作。</w:t>
      </w:r>
    </w:p>
    <w:p w14:paraId="7DB6B656">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（四）钢筋调直机安全操作规程</w:t>
      </w:r>
    </w:p>
    <w:p w14:paraId="67FD89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1、机械上不准堆放物品，以防机械震动落入机体。</w:t>
      </w:r>
    </w:p>
    <w:p w14:paraId="7CAF113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2、料架、料槽应安装平直，对准导向筒、调直筒和下切刀孔的中心线。</w:t>
      </w:r>
    </w:p>
    <w:p w14:paraId="0BB1285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3、用手转动飞轮，检查传动机构和工作装置，调整间隙，紧固螺栓，确认正常后，启动空运转，检查轴承应无异响，齿轮啮合良好，待运转正常后，方可作业。</w:t>
      </w:r>
    </w:p>
    <w:p w14:paraId="7501AE5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4、按调直钢筋的直径，选用适当的调直块及传动速度。经调试合格，方可送料。</w:t>
      </w:r>
    </w:p>
    <w:p w14:paraId="19BE548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5、在调直块未固定、防护罩未盖好前不得送料。作业中严禁打开各部防护罩及调整间隙。</w:t>
      </w:r>
    </w:p>
    <w:p w14:paraId="1A79396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6、当钢筋送入后，手与曳轮必须保持一定距离，不得接近。  </w:t>
      </w:r>
    </w:p>
    <w:p w14:paraId="12CC9AE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7、送料前应将不直的料头切去，导向筒前应装一根1m长的钢管，钢筋必须先穿过钢管再送入调直前端的导孔内。</w:t>
      </w:r>
    </w:p>
    <w:p w14:paraId="7930C00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8、钢筋调直到末端时，操作人员必须躲开，以防甩动伤人。</w:t>
      </w:r>
    </w:p>
    <w:p w14:paraId="40A080F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9、短于2米或直径大于9毫米的钢筋调直，应低速加工。</w:t>
      </w:r>
    </w:p>
    <w:p w14:paraId="0EB8D28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10、作业后，应松开调直筒的调直块并回到原来位置，同时预压弹簧必须回位。</w:t>
      </w:r>
    </w:p>
    <w:p w14:paraId="7E422FB3">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（五）钢筋弯曲机安全操作规程</w:t>
      </w:r>
    </w:p>
    <w:p w14:paraId="22E6C4D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1、工作台和弯曲机台面要保持水平，并准备好各种芯轴及工具。</w:t>
      </w:r>
    </w:p>
    <w:p w14:paraId="08010C0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2、按加工钢筋的直径和弯曲半径的要求装好芯轴、成型轴、挡铁轴或可变挡架，芯轴直径应为钢筋直径的2.5倍。</w:t>
      </w:r>
    </w:p>
    <w:p w14:paraId="4CF3160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3、检查芯轴、挡块、转盘应无损坏和裂纹，防护罩紧固可靠，经空运转确认正常后，方可作业。</w:t>
      </w:r>
    </w:p>
    <w:p w14:paraId="791FE5A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4、钢筋要贴紧挡板，注意放入插头的位置和回转方向，不得开错。</w:t>
      </w:r>
    </w:p>
    <w:p w14:paraId="46C5425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5、作业时，将钢筋需弯的一头插在转盘固定销的间隙内，另一端紧靠机身固定销，并用手压紧，检查机身固定销子确实安在挡住钢筋的一侧，方可开动。  </w:t>
      </w:r>
    </w:p>
    <w:p w14:paraId="76C9559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6、作业中，严禁更换芯轴、销子和变换角度以及调速等作业，亦不得加油或清扫。</w:t>
      </w:r>
    </w:p>
    <w:p w14:paraId="5A18A8A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7、弯曲钢筋时，严禁超过本机规定的钢筋直径、根数及机械转速。</w:t>
      </w:r>
    </w:p>
    <w:p w14:paraId="2C58293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8、弯曲长钢筋，应有专人扶住，并站在钢筋弯曲方向的外面，互相配合，不得拖拉。</w:t>
      </w:r>
    </w:p>
    <w:p w14:paraId="69598D8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9、调头弯曲，防止碰撞人和物。更换插头，加油和清理，必须停机后进行。</w:t>
      </w:r>
    </w:p>
    <w:p w14:paraId="5A1AFC8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10、弯曲高强度或低合金钢筋时，应按机械铭牌规定换算最大限制直径并调换相应的芯轴。</w:t>
      </w:r>
    </w:p>
    <w:p w14:paraId="368D2DC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lang w:val="en-US" w:eastAsia="zh-CN"/>
        </w:rPr>
        <w:t>11</w:t>
      </w:r>
      <w:r>
        <w:rPr>
          <w:rFonts w:hint="eastAsia" w:ascii="仿宋_GB2312"/>
          <w:sz w:val="21"/>
          <w:szCs w:val="21"/>
          <w:highlight w:val="none"/>
        </w:rPr>
        <w:t>、严禁在弯曲钢筋的作业半径内和机身不设固定销的一侧站人。弯曲好的半成品应堆放整齐，弯钩不得朝上。</w:t>
      </w:r>
    </w:p>
    <w:p w14:paraId="37ABCF9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12、转盘换向时，必须在停稳后进行。</w:t>
      </w:r>
    </w:p>
    <w:p w14:paraId="5BE5F2D4">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sz w:val="21"/>
          <w:szCs w:val="21"/>
          <w:highlight w:val="none"/>
        </w:rPr>
      </w:pPr>
      <w:r>
        <w:rPr>
          <w:rFonts w:hint="eastAsia" w:ascii="仿宋_GB2312"/>
          <w:b/>
          <w:bCs/>
          <w:sz w:val="21"/>
          <w:szCs w:val="21"/>
          <w:highlight w:val="none"/>
        </w:rPr>
        <w:t>（六）钢筋电渣压力焊机安全操作规程</w:t>
      </w:r>
    </w:p>
    <w:p w14:paraId="7E55CB5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1、应根据施焊钢筋直径选择具有足够输出电流的电焊机。电源电缆和控制电缆联接应正确、牢固。控制箱的外壳应牢靠接地。</w:t>
      </w:r>
    </w:p>
    <w:p w14:paraId="4F3974C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2、施焊前，应检查供电电压并确认正常，当一次电压降大于8％时，不宜焊接。焊接导线长度不得大于30m，截面面积不得小于50mm</w:t>
      </w:r>
      <w:r>
        <w:rPr>
          <w:rFonts w:hint="eastAsia" w:ascii="仿宋_GB2312"/>
          <w:sz w:val="21"/>
          <w:szCs w:val="21"/>
          <w:highlight w:val="none"/>
          <w:vertAlign w:val="superscript"/>
        </w:rPr>
        <w:t>2</w:t>
      </w:r>
      <w:r>
        <w:rPr>
          <w:rFonts w:hint="eastAsia" w:ascii="仿宋_GB2312"/>
          <w:sz w:val="21"/>
          <w:szCs w:val="21"/>
          <w:highlight w:val="none"/>
        </w:rPr>
        <w:t>。</w:t>
      </w:r>
    </w:p>
    <w:p w14:paraId="2C455D1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3、施焊前应检查并确认电源及控制电路正常，定时准确，误差不大于5％，机具的传动系统、夹装系统及焊钳的转动部分灵活自如，焊剂已干燥，所需附件齐全。</w:t>
      </w:r>
    </w:p>
    <w:p w14:paraId="3C17E3D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4、施焊前，应按所焊钢筋的直径，根据参数表，标定好所需的电源和时间。一般情况下，时间(s)可为钢筋的直径数(mm)，电流(A)可为钢筋直径的10倍数(mm)。</w:t>
      </w:r>
    </w:p>
    <w:p w14:paraId="2FBEEED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5、起弧前，上、下钢筋应对齐，钢筋端头应接触良好。对锈蚀粘有水泥的钢筋，应采用钢丝刷清除，并保证导电良好。 </w:t>
      </w:r>
    </w:p>
    <w:p w14:paraId="345E0F4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6、施焊过程中，应随时检查焊接质量，当发现倾斜、偏心、未熔合、有气孔等现象时，应重新施焊。</w:t>
      </w:r>
    </w:p>
    <w:p w14:paraId="5B553A6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7、每个接头焊完后，应停留5～6min保温；寒冷季节应适当延长。当拆下机具时，应扶住钢筋，过热的接头不得过于受力。焊渣应待完全冷却后清除。</w:t>
      </w:r>
    </w:p>
    <w:p w14:paraId="7CE57483">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（七）卷扬机安全操作规程</w:t>
      </w:r>
    </w:p>
    <w:p w14:paraId="461C854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w:t>
      </w:r>
      <w:r>
        <w:rPr>
          <w:rFonts w:hint="eastAsia"/>
          <w:sz w:val="21"/>
          <w:szCs w:val="21"/>
          <w:highlight w:val="none"/>
        </w:rPr>
        <w:t>卷</w:t>
      </w:r>
      <w:r>
        <w:rPr>
          <w:rFonts w:hint="eastAsia" w:ascii="仿宋_GB2312"/>
          <w:sz w:val="21"/>
          <w:szCs w:val="21"/>
          <w:highlight w:val="none"/>
        </w:rPr>
        <w:t>扬机操作手必须熟悉本机械的性能、构造、操作方法。持证上岗。</w:t>
      </w:r>
    </w:p>
    <w:p w14:paraId="66CA080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2、操作前，要检查卷扬机的地锚、上料架是否牢固，同时要检查离合器、制动器是否灵敏可靠。外露皮带、齿轮等传动装置、防护罩是否齐全。</w:t>
      </w:r>
    </w:p>
    <w:p w14:paraId="397670D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3、钢丝绳排列要整齐，在提升吊兰的过程中，在卷筒上  至少要保留3～5圈，钢丝绳的磨损程度不超过10％，通过滑轮的钢丝绳不能有接头。 </w:t>
      </w:r>
    </w:p>
    <w:p w14:paraId="619109A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4、卷扬机应有专人使用和保养，经常检查接地线路是否良好，如发现电气设备漏电或其他故障时及时报告工长。不得擅自修理。</w:t>
      </w:r>
    </w:p>
    <w:p w14:paraId="7F563AD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5、吊篮必须装有安全门，只能提升物料，严禁载人。吊篮在空中停留，除使用制动器外，同时要用停放架垫好。严禁有人跨越钢丝绳在吊篮下面行走。</w:t>
      </w:r>
    </w:p>
    <w:p w14:paraId="14F13AC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6、上料架必须有良好的接地和避雷装置。每周要检查一次限位器是否灵活可靠。吊篮提重物时，砖、灰不能超过0.5吨，严禁运送超重、超长物品。</w:t>
      </w:r>
    </w:p>
    <w:p w14:paraId="5B2D477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7、作业中停电时，应切断电源。将提升物件或吊兰篮降至地面。</w:t>
      </w:r>
    </w:p>
    <w:p w14:paraId="5B783EE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8、操作完毕，应将提升吊篮或物件降至地面，并应切断电源，锁好开关箱。</w:t>
      </w:r>
    </w:p>
    <w:p w14:paraId="4F5681D1">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（八）翻斗车安全操作规程</w:t>
      </w:r>
    </w:p>
    <w:p w14:paraId="34B6413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1、行驶前，应检查锁紧装置，并将料斗锁牢，不得在行驶时掉斗。</w:t>
      </w:r>
    </w:p>
    <w:p w14:paraId="01B7A07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2、行驶时应从一档起步，不得用离合器处于半结合状态来控制车速。</w:t>
      </w:r>
    </w:p>
    <w:p w14:paraId="2018D04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3、翻斗制动时，应逐渐踏下制动踏板，并应避免紧急制动。</w:t>
      </w:r>
    </w:p>
    <w:p w14:paraId="6DC300C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4、严禁料斗内载人，料斗不得在卸料情况下行驶或进行平地作业。</w:t>
      </w:r>
    </w:p>
    <w:p w14:paraId="0B9DB36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5、内燃机运转或料斗内载荷时，严禁在车底下进行任何作业。</w:t>
      </w:r>
    </w:p>
    <w:p w14:paraId="74623F0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6、操作人员离机时，应将内燃机熄火，并摘档拉紧手制动器。</w:t>
      </w:r>
    </w:p>
    <w:p w14:paraId="00D90C5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7、作业后，应对车辆进行清洗，清除砂土及混凝土等粘结在料斗和车架上的脏物。</w:t>
      </w:r>
    </w:p>
    <w:p w14:paraId="71F82205">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（九）打夯机安全操作规程</w:t>
      </w:r>
    </w:p>
    <w:p w14:paraId="5DF97C1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1、夯机使用前检查绝缘线路、漏电保护器、定向开关、皮带、偏心块等，确认无问题方可使用。</w:t>
      </w:r>
    </w:p>
    <w:p w14:paraId="0277D4C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2、夯机操作时，要两人操作：一人扶夯机，一人整理线路，防止夯头夯打电源线。</w:t>
      </w:r>
    </w:p>
    <w:p w14:paraId="13F6A67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3、夯机拐弯时，不得猛拐和撒把不扶任其自由行走。</w:t>
      </w:r>
    </w:p>
    <w:p w14:paraId="27D942A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4、夯机作业时，机前2米内不得有人，多台夯机夯打时，其左右距离不得小于5米，作业人员穿绝缘鞋、戴绝缘手套。</w:t>
      </w:r>
    </w:p>
    <w:p w14:paraId="241702D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5、随机的电源线应保持3-4米的余量，发现电源线缠绕、破裂时要及时断电，停止作业，马上修理。</w:t>
      </w:r>
    </w:p>
    <w:p w14:paraId="3C7C2F0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6、挪夯机前要断电，绑好偏心块，盘好缆线。工作完后断电锁好，放在干燥处。</w:t>
      </w:r>
    </w:p>
    <w:p w14:paraId="047F47B2">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（十）砼振捣器安全操作规程</w:t>
      </w:r>
    </w:p>
    <w:p w14:paraId="2BE6D88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1、在使用前检查部件和软轴接线是否正确，试运转后，方可使用。</w:t>
      </w:r>
    </w:p>
    <w:p w14:paraId="609E25A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2、单设电源线和电源箱，箱内要有漏电保护器，电机外壳做好接零保护。工作时两人操作：一人持棒，一人看电机，随时挪电机不得拖拉。</w:t>
      </w:r>
    </w:p>
    <w:p w14:paraId="32802F9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3、操作人员穿绝缘鞋、戴绝缘手套。</w:t>
      </w:r>
    </w:p>
    <w:p w14:paraId="74057CD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4、振捣器软轴弯曲半径不得小于50厘米，并不得多于2个弯，操作时振捣棒自然垂直地沉入砼，不得用力硬插，斜推或使钢筋加住棒头，也不得全部插入砼中。</w:t>
      </w:r>
    </w:p>
    <w:p w14:paraId="75408745">
      <w:pPr>
        <w:adjustRightInd w:val="0"/>
        <w:snapToGrid w:val="0"/>
        <w:spacing w:line="360" w:lineRule="auto"/>
        <w:rPr>
          <w:rFonts w:hint="eastAsia" w:ascii="仿宋_GB2312"/>
          <w:sz w:val="21"/>
          <w:szCs w:val="21"/>
          <w:highlight w:val="none"/>
        </w:rPr>
      </w:pPr>
      <w:r>
        <w:rPr>
          <w:rFonts w:hint="eastAsia" w:ascii="仿宋_GB2312"/>
          <w:sz w:val="21"/>
          <w:szCs w:val="21"/>
          <w:highlight w:val="none"/>
        </w:rPr>
        <w:t>5、用完的振捣棒先断电，再盘好缆线，电机放在干燥处防止受潮造成电机烧毁现象。</w:t>
      </w:r>
    </w:p>
    <w:p w14:paraId="3F46A0B0">
      <w:pPr>
        <w:adjustRightInd w:val="0"/>
        <w:snapToGrid w:val="0"/>
        <w:spacing w:line="360" w:lineRule="auto"/>
        <w:jc w:val="both"/>
        <w:rPr>
          <w:rFonts w:hint="eastAsia" w:ascii="仿宋" w:hAnsi="仿宋" w:eastAsia="仿宋" w:cs="仿宋"/>
          <w:b/>
          <w:bCs/>
          <w:sz w:val="30"/>
          <w:szCs w:val="30"/>
        </w:rPr>
      </w:pPr>
    </w:p>
    <w:p w14:paraId="4BF15A94">
      <w:pPr>
        <w:adjustRightInd w:val="0"/>
        <w:snapToGrid w:val="0"/>
        <w:spacing w:line="360" w:lineRule="auto"/>
        <w:ind w:firstLine="602" w:firstLineChars="200"/>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rPr>
        <w:t xml:space="preserve">第四章  </w:t>
      </w:r>
      <w:r>
        <w:rPr>
          <w:rFonts w:hint="eastAsia" w:ascii="仿宋" w:hAnsi="仿宋" w:eastAsia="仿宋" w:cs="仿宋"/>
          <w:b/>
          <w:bCs/>
          <w:sz w:val="30"/>
          <w:szCs w:val="30"/>
          <w:lang w:val="en-US" w:eastAsia="zh-CN"/>
        </w:rPr>
        <w:t>施工方案及控制价清单</w:t>
      </w:r>
    </w:p>
    <w:p w14:paraId="68CEFB2B">
      <w:pPr>
        <w:numPr>
          <w:ilvl w:val="0"/>
          <w:numId w:val="7"/>
        </w:numPr>
        <w:adjustRightInd w:val="0"/>
        <w:snapToGrid w:val="0"/>
        <w:spacing w:line="360" w:lineRule="auto"/>
        <w:rPr>
          <w:rFonts w:hint="eastAsia" w:ascii="仿宋_GB2312"/>
          <w:b/>
          <w:bCs/>
          <w:sz w:val="24"/>
          <w:highlight w:val="none"/>
          <w:lang w:val="en-US" w:eastAsia="zh-CN"/>
        </w:rPr>
      </w:pPr>
      <w:r>
        <w:rPr>
          <w:rFonts w:hint="eastAsia" w:ascii="仿宋_GB2312"/>
          <w:b/>
          <w:bCs/>
          <w:sz w:val="24"/>
          <w:highlight w:val="none"/>
          <w:lang w:val="en-US" w:eastAsia="zh-CN"/>
        </w:rPr>
        <w:t>施工方案说明</w:t>
      </w:r>
    </w:p>
    <w:p w14:paraId="3720FCAF">
      <w:pPr>
        <w:numPr>
          <w:ilvl w:val="0"/>
          <w:numId w:val="0"/>
        </w:numPr>
        <w:adjustRightInd w:val="0"/>
        <w:snapToGrid w:val="0"/>
        <w:spacing w:line="360" w:lineRule="auto"/>
        <w:ind w:firstLine="480" w:firstLineChars="200"/>
        <w:rPr>
          <w:rFonts w:hint="eastAsia" w:ascii="仿宋_GB2312"/>
          <w:sz w:val="24"/>
          <w:highlight w:val="none"/>
          <w:lang w:val="en-US" w:eastAsia="zh-CN"/>
        </w:rPr>
      </w:pPr>
      <w:r>
        <w:rPr>
          <w:rFonts w:hint="eastAsia" w:ascii="仿宋_GB2312"/>
          <w:sz w:val="24"/>
          <w:highlight w:val="none"/>
          <w:lang w:val="en-US" w:eastAsia="zh-CN"/>
        </w:rPr>
        <w:t>1.伸缩缝位置防水维修，首先需要对伸缩缝进行清理工作。拆掉原铁皮外盖板，先使用电镐将伸缩缝内原有的密封材料及杂物等清除干净，清理深度至结构层，清理宽度需比原伸缩缝宽 2-3cm。然后，用锤子和铲子将伸缩缝两侧的酥松混凝土表面松动部分敲掉，使其露出坚实完整的基面。用毛刷和吹风机将伸缩缝内的灰尘、碎屑等清理干净，确保基面干燥、洁净。 然后进行基面处理。对伸缩缝两侧混凝土基面的蜂窝、麻面、孔洞等缺陷进行修补。先用堵漏材料将缺陷部位填平，待其干燥后，打磨平整。在伸缩缝两侧混凝土基面上涂刷一层基层处理剂，增强防水材料与基面的粘结力。基层处理剂应涂刷均匀，不得有漏刷、流淌现象。然后用麻丝沾满乳化沥青对伸缩缝进行填充，直至填充饱满并有一定伸缩性能，确保连接牢固并密封良好。然后伸缩缝外侧用速凝型堵漏材料对外侧进行封闭堵漏作业，在外侧与外立面形成一个平整光滑的整体，预埋注浆钉，采用高压灌浆的施工办法，采用专用堵漏聚氨酯发泡注浆液注入表面与基层之内的夹层之中，待注浆材料初步凝固后，继续采用二次灌浆处理方法，直至灌注饱满，取出注浆钉，用堵漏材料对钉眼进行封堵，外侧不锈钢板进行安装恢复。</w:t>
      </w:r>
    </w:p>
    <w:p w14:paraId="31D92ED9">
      <w:pPr>
        <w:numPr>
          <w:ilvl w:val="0"/>
          <w:numId w:val="0"/>
        </w:numPr>
        <w:adjustRightInd w:val="0"/>
        <w:snapToGrid w:val="0"/>
        <w:spacing w:line="360" w:lineRule="auto"/>
        <w:ind w:firstLine="480" w:firstLineChars="200"/>
        <w:rPr>
          <w:rFonts w:hint="eastAsia" w:ascii="仿宋_GB2312"/>
          <w:sz w:val="24"/>
          <w:highlight w:val="none"/>
          <w:lang w:val="en-US" w:eastAsia="zh-CN"/>
        </w:rPr>
      </w:pPr>
      <w:r>
        <w:rPr>
          <w:rFonts w:hint="eastAsia" w:ascii="仿宋_GB2312"/>
          <w:sz w:val="24"/>
          <w:highlight w:val="none"/>
          <w:lang w:val="en-US" w:eastAsia="zh-CN"/>
        </w:rPr>
        <w:t>2.进出水管道根部渗漏水维修，先将进出水管道周圈腻子层进行清理干净，然后用电镐进行管根部位砼及砂浆层进行剔凿，剔凿深度在8-10cm，将剔凿位置内部疏松混凝土及填充杂物进行清理，用锤子和铲子将管道根部周边的酥松混凝土表面松动部分敲掉，使其露出坚实完整的基面，继续用毛刷和吹风机将管道根部周边的灰尘、碎屑等清理干净，确保基面干燥、洁净。 然后进行基面处理，并用水冲洗干净，待干燥后然后先用棉麻丝蘸满高性能聚脲速凝浆料分层次依次填入凹槽内并压紧压实，每次填充时间间隔控制，每层填充厚度不超过5cm，在外侧间隔15-30cm预埋一支注浆针头，待聚尿棉麻丝凝固后，在管道根部周边用堵漏材料分三次压紧抹平，与原墙面一致，待堵漏材料凝固后，采用高压灌浆施工办法，首先灌注专用堵漏聚氨酯发泡注浆液，止住明水，初凝后采用二次灌浆，最后灌入专用丙烯酸盐堵漏材料，止水凝固并且持久保持，待注浆材料完全凝固后，取出注浆钉，用堵漏材料对钉眼进行封堵。</w:t>
      </w:r>
    </w:p>
    <w:p w14:paraId="6E3494CE">
      <w:pPr>
        <w:numPr>
          <w:ilvl w:val="0"/>
          <w:numId w:val="0"/>
        </w:numPr>
        <w:adjustRightInd w:val="0"/>
        <w:snapToGrid w:val="0"/>
        <w:spacing w:line="360" w:lineRule="auto"/>
        <w:rPr>
          <w:rFonts w:hint="eastAsia" w:ascii="仿宋_GB2312"/>
          <w:sz w:val="24"/>
          <w:highlight w:val="none"/>
          <w:lang w:val="en-US" w:eastAsia="zh-CN"/>
        </w:rPr>
      </w:pPr>
    </w:p>
    <w:p w14:paraId="32A730DB">
      <w:pPr>
        <w:numPr>
          <w:ilvl w:val="0"/>
          <w:numId w:val="0"/>
        </w:numPr>
        <w:adjustRightInd w:val="0"/>
        <w:snapToGrid w:val="0"/>
        <w:spacing w:line="360" w:lineRule="auto"/>
        <w:rPr>
          <w:rFonts w:hint="eastAsia" w:ascii="仿宋_GB2312"/>
          <w:sz w:val="24"/>
          <w:highlight w:val="none"/>
          <w:lang w:val="en-US" w:eastAsia="zh-CN"/>
        </w:rPr>
      </w:pPr>
    </w:p>
    <w:p w14:paraId="3241591F">
      <w:pPr>
        <w:numPr>
          <w:ilvl w:val="0"/>
          <w:numId w:val="0"/>
        </w:numPr>
        <w:adjustRightInd w:val="0"/>
        <w:snapToGrid w:val="0"/>
        <w:spacing w:line="360" w:lineRule="auto"/>
        <w:rPr>
          <w:rFonts w:hint="eastAsia" w:ascii="仿宋_GB2312"/>
          <w:sz w:val="24"/>
          <w:highlight w:val="none"/>
          <w:lang w:val="en-US" w:eastAsia="zh-CN"/>
        </w:rPr>
      </w:pPr>
    </w:p>
    <w:p w14:paraId="6742C5FD">
      <w:pPr>
        <w:rPr>
          <w:rFonts w:hint="default"/>
          <w:lang w:val="en-US" w:eastAsia="zh-CN"/>
        </w:rPr>
      </w:pPr>
      <w:r>
        <w:rPr>
          <w:rFonts w:hint="eastAsia"/>
          <w:sz w:val="24"/>
          <w:szCs w:val="24"/>
          <w:lang w:val="en-US" w:eastAsia="zh-CN"/>
        </w:rPr>
        <w:t>二</w:t>
      </w:r>
      <w:r>
        <w:rPr>
          <w:rFonts w:hint="eastAsia"/>
          <w:lang w:val="en-US" w:eastAsia="zh-CN"/>
        </w:rPr>
        <w:t>、</w:t>
      </w:r>
      <w:r>
        <w:rPr>
          <w:rFonts w:hint="eastAsia" w:ascii="仿宋_GB2312"/>
          <w:b/>
          <w:bCs/>
          <w:sz w:val="24"/>
          <w:highlight w:val="none"/>
          <w:lang w:val="en-US" w:eastAsia="zh-CN"/>
        </w:rPr>
        <w:t>控制价清单</w:t>
      </w:r>
    </w:p>
    <w:tbl>
      <w:tblPr>
        <w:tblStyle w:val="12"/>
        <w:tblpPr w:leftFromText="180" w:rightFromText="180" w:vertAnchor="text" w:horzAnchor="page" w:tblpX="995" w:tblpY="115"/>
        <w:tblOverlap w:val="never"/>
        <w:tblW w:w="101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5"/>
        <w:gridCol w:w="4095"/>
        <w:gridCol w:w="1035"/>
        <w:gridCol w:w="990"/>
        <w:gridCol w:w="960"/>
        <w:gridCol w:w="1080"/>
        <w:gridCol w:w="1185"/>
      </w:tblGrid>
      <w:tr w14:paraId="3DE57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45" w:type="dxa"/>
            <w:tcBorders>
              <w:tl2br w:val="nil"/>
              <w:tr2bl w:val="nil"/>
            </w:tcBorders>
            <w:vAlign w:val="center"/>
          </w:tcPr>
          <w:p w14:paraId="1CA14FBE">
            <w:pPr>
              <w:jc w:val="center"/>
              <w:rPr>
                <w:sz w:val="28"/>
                <w:szCs w:val="36"/>
              </w:rPr>
            </w:pPr>
            <w:r>
              <w:rPr>
                <w:rFonts w:hint="eastAsia"/>
                <w:sz w:val="28"/>
                <w:szCs w:val="36"/>
              </w:rPr>
              <w:t>序号</w:t>
            </w:r>
          </w:p>
        </w:tc>
        <w:tc>
          <w:tcPr>
            <w:tcW w:w="4095" w:type="dxa"/>
            <w:tcBorders>
              <w:tl2br w:val="nil"/>
              <w:tr2bl w:val="nil"/>
            </w:tcBorders>
            <w:vAlign w:val="center"/>
          </w:tcPr>
          <w:p w14:paraId="1837F0C9">
            <w:pPr>
              <w:jc w:val="center"/>
              <w:rPr>
                <w:sz w:val="28"/>
                <w:szCs w:val="36"/>
              </w:rPr>
            </w:pPr>
            <w:r>
              <w:rPr>
                <w:rFonts w:hint="eastAsia"/>
                <w:sz w:val="28"/>
                <w:szCs w:val="36"/>
              </w:rPr>
              <w:t>维修部位</w:t>
            </w:r>
          </w:p>
        </w:tc>
        <w:tc>
          <w:tcPr>
            <w:tcW w:w="1035" w:type="dxa"/>
            <w:tcBorders>
              <w:tl2br w:val="nil"/>
              <w:tr2bl w:val="nil"/>
            </w:tcBorders>
            <w:vAlign w:val="center"/>
          </w:tcPr>
          <w:p w14:paraId="20848533">
            <w:pPr>
              <w:jc w:val="center"/>
              <w:rPr>
                <w:sz w:val="28"/>
                <w:szCs w:val="36"/>
              </w:rPr>
            </w:pPr>
            <w:r>
              <w:rPr>
                <w:rFonts w:hint="eastAsia"/>
                <w:sz w:val="28"/>
                <w:szCs w:val="36"/>
              </w:rPr>
              <w:t>单价（元）</w:t>
            </w:r>
          </w:p>
        </w:tc>
        <w:tc>
          <w:tcPr>
            <w:tcW w:w="990" w:type="dxa"/>
            <w:tcBorders>
              <w:tl2br w:val="nil"/>
              <w:tr2bl w:val="nil"/>
            </w:tcBorders>
            <w:vAlign w:val="center"/>
          </w:tcPr>
          <w:p w14:paraId="5AEE2460">
            <w:pPr>
              <w:jc w:val="center"/>
              <w:rPr>
                <w:sz w:val="28"/>
                <w:szCs w:val="36"/>
              </w:rPr>
            </w:pPr>
            <w:r>
              <w:rPr>
                <w:rFonts w:hint="eastAsia"/>
                <w:sz w:val="28"/>
                <w:szCs w:val="36"/>
              </w:rPr>
              <w:t>单位</w:t>
            </w:r>
          </w:p>
        </w:tc>
        <w:tc>
          <w:tcPr>
            <w:tcW w:w="960" w:type="dxa"/>
            <w:tcBorders>
              <w:tl2br w:val="nil"/>
              <w:tr2bl w:val="nil"/>
            </w:tcBorders>
            <w:vAlign w:val="center"/>
          </w:tcPr>
          <w:p w14:paraId="67FC9287">
            <w:pPr>
              <w:jc w:val="center"/>
              <w:rPr>
                <w:sz w:val="28"/>
                <w:szCs w:val="36"/>
              </w:rPr>
            </w:pPr>
            <w:r>
              <w:rPr>
                <w:rFonts w:hint="eastAsia"/>
                <w:sz w:val="28"/>
                <w:szCs w:val="36"/>
              </w:rPr>
              <w:t>数量</w:t>
            </w:r>
          </w:p>
        </w:tc>
        <w:tc>
          <w:tcPr>
            <w:tcW w:w="1080" w:type="dxa"/>
            <w:tcBorders>
              <w:tl2br w:val="nil"/>
              <w:tr2bl w:val="nil"/>
            </w:tcBorders>
            <w:vAlign w:val="center"/>
          </w:tcPr>
          <w:p w14:paraId="0F2EBECD">
            <w:pPr>
              <w:jc w:val="center"/>
              <w:rPr>
                <w:sz w:val="28"/>
                <w:szCs w:val="36"/>
              </w:rPr>
            </w:pPr>
            <w:r>
              <w:rPr>
                <w:rFonts w:hint="eastAsia"/>
                <w:sz w:val="28"/>
                <w:szCs w:val="36"/>
              </w:rPr>
              <w:t>金额（元）</w:t>
            </w:r>
          </w:p>
        </w:tc>
        <w:tc>
          <w:tcPr>
            <w:tcW w:w="1185" w:type="dxa"/>
            <w:tcBorders>
              <w:tl2br w:val="nil"/>
              <w:tr2bl w:val="nil"/>
            </w:tcBorders>
            <w:vAlign w:val="center"/>
          </w:tcPr>
          <w:p w14:paraId="16F231AD">
            <w:pPr>
              <w:jc w:val="center"/>
              <w:rPr>
                <w:sz w:val="28"/>
                <w:szCs w:val="36"/>
              </w:rPr>
            </w:pPr>
            <w:r>
              <w:rPr>
                <w:rFonts w:hint="eastAsia"/>
                <w:sz w:val="28"/>
                <w:szCs w:val="36"/>
              </w:rPr>
              <w:t>备注</w:t>
            </w:r>
          </w:p>
        </w:tc>
      </w:tr>
      <w:tr w14:paraId="32095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5" w:type="dxa"/>
            <w:tcBorders>
              <w:tl2br w:val="nil"/>
              <w:tr2bl w:val="nil"/>
            </w:tcBorders>
            <w:vAlign w:val="center"/>
          </w:tcPr>
          <w:p w14:paraId="46887CF0">
            <w:pPr>
              <w:jc w:val="center"/>
              <w:rPr>
                <w:sz w:val="28"/>
                <w:szCs w:val="36"/>
              </w:rPr>
            </w:pPr>
            <w:r>
              <w:rPr>
                <w:rFonts w:hint="eastAsia"/>
                <w:sz w:val="28"/>
                <w:szCs w:val="36"/>
              </w:rPr>
              <w:t>1</w:t>
            </w:r>
          </w:p>
        </w:tc>
        <w:tc>
          <w:tcPr>
            <w:tcW w:w="4095" w:type="dxa"/>
            <w:tcBorders>
              <w:tl2br w:val="nil"/>
              <w:tr2bl w:val="nil"/>
            </w:tcBorders>
            <w:vAlign w:val="center"/>
          </w:tcPr>
          <w:p w14:paraId="5A8AB953">
            <w:pPr>
              <w:jc w:val="center"/>
              <w:rPr>
                <w:rFonts w:hint="default"/>
                <w:sz w:val="24"/>
                <w:lang w:val="en-US"/>
              </w:rPr>
            </w:pPr>
            <w:r>
              <w:rPr>
                <w:rFonts w:hint="eastAsia"/>
                <w:sz w:val="24"/>
                <w:lang w:val="en-US" w:eastAsia="zh-CN"/>
              </w:rPr>
              <w:t>伸缩缝防水维修</w:t>
            </w:r>
          </w:p>
        </w:tc>
        <w:tc>
          <w:tcPr>
            <w:tcW w:w="1035" w:type="dxa"/>
            <w:tcBorders>
              <w:tl2br w:val="nil"/>
              <w:tr2bl w:val="nil"/>
            </w:tcBorders>
            <w:vAlign w:val="center"/>
          </w:tcPr>
          <w:p w14:paraId="2210DD07">
            <w:pPr>
              <w:jc w:val="center"/>
              <w:rPr>
                <w:rFonts w:hint="default" w:eastAsia="宋体"/>
                <w:sz w:val="24"/>
                <w:lang w:val="en-US" w:eastAsia="zh-CN"/>
              </w:rPr>
            </w:pPr>
            <w:r>
              <w:rPr>
                <w:rFonts w:hint="eastAsia"/>
                <w:sz w:val="24"/>
                <w:lang w:val="en-US" w:eastAsia="zh-CN"/>
              </w:rPr>
              <w:t>8500</w:t>
            </w:r>
          </w:p>
        </w:tc>
        <w:tc>
          <w:tcPr>
            <w:tcW w:w="990" w:type="dxa"/>
            <w:tcBorders>
              <w:tl2br w:val="nil"/>
              <w:tr2bl w:val="nil"/>
            </w:tcBorders>
            <w:vAlign w:val="center"/>
          </w:tcPr>
          <w:p w14:paraId="34639E86">
            <w:pPr>
              <w:jc w:val="center"/>
              <w:rPr>
                <w:rFonts w:hint="default" w:eastAsia="宋体"/>
                <w:sz w:val="24"/>
                <w:lang w:val="en-US" w:eastAsia="zh-CN"/>
              </w:rPr>
            </w:pPr>
            <w:r>
              <w:rPr>
                <w:rFonts w:hint="eastAsia"/>
                <w:sz w:val="24"/>
                <w:lang w:val="en-US" w:eastAsia="zh-CN"/>
              </w:rPr>
              <w:t>条</w:t>
            </w:r>
          </w:p>
        </w:tc>
        <w:tc>
          <w:tcPr>
            <w:tcW w:w="960" w:type="dxa"/>
            <w:tcBorders>
              <w:tl2br w:val="nil"/>
              <w:tr2bl w:val="nil"/>
            </w:tcBorders>
            <w:vAlign w:val="center"/>
          </w:tcPr>
          <w:p w14:paraId="2272881C">
            <w:pPr>
              <w:jc w:val="center"/>
              <w:rPr>
                <w:rFonts w:hint="default" w:eastAsia="宋体"/>
                <w:sz w:val="24"/>
                <w:lang w:val="en-US" w:eastAsia="zh-CN"/>
              </w:rPr>
            </w:pPr>
            <w:r>
              <w:rPr>
                <w:rFonts w:hint="eastAsia"/>
                <w:sz w:val="24"/>
                <w:lang w:val="en-US" w:eastAsia="zh-CN"/>
              </w:rPr>
              <w:t>2</w:t>
            </w:r>
          </w:p>
        </w:tc>
        <w:tc>
          <w:tcPr>
            <w:tcW w:w="1080" w:type="dxa"/>
            <w:tcBorders>
              <w:tl2br w:val="nil"/>
              <w:tr2bl w:val="nil"/>
            </w:tcBorders>
            <w:vAlign w:val="center"/>
          </w:tcPr>
          <w:p w14:paraId="112068BC">
            <w:pPr>
              <w:jc w:val="center"/>
              <w:rPr>
                <w:rFonts w:hint="default" w:eastAsia="宋体"/>
                <w:sz w:val="24"/>
                <w:lang w:val="en-US" w:eastAsia="zh-CN"/>
              </w:rPr>
            </w:pPr>
            <w:r>
              <w:rPr>
                <w:rFonts w:hint="eastAsia"/>
                <w:sz w:val="24"/>
                <w:lang w:val="en-US" w:eastAsia="zh-CN"/>
              </w:rPr>
              <w:t>17000</w:t>
            </w:r>
          </w:p>
        </w:tc>
        <w:tc>
          <w:tcPr>
            <w:tcW w:w="1185" w:type="dxa"/>
            <w:vMerge w:val="restart"/>
            <w:tcBorders>
              <w:tl2br w:val="nil"/>
              <w:tr2bl w:val="nil"/>
            </w:tcBorders>
            <w:vAlign w:val="center"/>
          </w:tcPr>
          <w:p w14:paraId="3618DE87">
            <w:pPr>
              <w:jc w:val="center"/>
              <w:rPr>
                <w:rFonts w:hint="default" w:eastAsia="宋体"/>
                <w:sz w:val="24"/>
                <w:lang w:val="en-US" w:eastAsia="zh-CN"/>
              </w:rPr>
            </w:pPr>
            <w:r>
              <w:rPr>
                <w:rFonts w:hint="eastAsia"/>
                <w:sz w:val="24"/>
                <w:lang w:val="en-US" w:eastAsia="zh-CN"/>
              </w:rPr>
              <w:t>9%增值税普通发票</w:t>
            </w:r>
          </w:p>
        </w:tc>
      </w:tr>
      <w:tr w14:paraId="3103D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5" w:type="dxa"/>
            <w:tcBorders>
              <w:tl2br w:val="nil"/>
              <w:tr2bl w:val="nil"/>
            </w:tcBorders>
            <w:vAlign w:val="center"/>
          </w:tcPr>
          <w:p w14:paraId="03FB8A85">
            <w:pPr>
              <w:jc w:val="center"/>
              <w:rPr>
                <w:rFonts w:hint="eastAsia" w:eastAsia="宋体"/>
                <w:sz w:val="28"/>
                <w:szCs w:val="36"/>
                <w:lang w:val="en-US" w:eastAsia="zh-CN"/>
              </w:rPr>
            </w:pPr>
            <w:r>
              <w:rPr>
                <w:rFonts w:hint="eastAsia"/>
                <w:sz w:val="28"/>
                <w:szCs w:val="36"/>
                <w:lang w:val="en-US" w:eastAsia="zh-CN"/>
              </w:rPr>
              <w:t>2</w:t>
            </w:r>
          </w:p>
        </w:tc>
        <w:tc>
          <w:tcPr>
            <w:tcW w:w="4095" w:type="dxa"/>
            <w:tcBorders>
              <w:tl2br w:val="nil"/>
              <w:tr2bl w:val="nil"/>
            </w:tcBorders>
            <w:vAlign w:val="center"/>
          </w:tcPr>
          <w:p w14:paraId="2BB3526A">
            <w:pPr>
              <w:jc w:val="center"/>
              <w:rPr>
                <w:rFonts w:hint="default" w:eastAsia="宋体"/>
                <w:sz w:val="24"/>
                <w:lang w:val="en-US" w:eastAsia="zh-CN"/>
              </w:rPr>
            </w:pPr>
            <w:r>
              <w:rPr>
                <w:rFonts w:hint="eastAsia"/>
                <w:sz w:val="24"/>
                <w:lang w:val="en-US" w:eastAsia="zh-CN"/>
              </w:rPr>
              <w:t>进出水管道防水维修</w:t>
            </w:r>
          </w:p>
        </w:tc>
        <w:tc>
          <w:tcPr>
            <w:tcW w:w="1035" w:type="dxa"/>
            <w:tcBorders>
              <w:tl2br w:val="nil"/>
              <w:tr2bl w:val="nil"/>
            </w:tcBorders>
            <w:vAlign w:val="center"/>
          </w:tcPr>
          <w:p w14:paraId="29C9ACBC">
            <w:pPr>
              <w:jc w:val="center"/>
              <w:rPr>
                <w:rFonts w:hint="default"/>
                <w:sz w:val="24"/>
                <w:lang w:val="en-US" w:eastAsia="zh-CN"/>
              </w:rPr>
            </w:pPr>
            <w:r>
              <w:rPr>
                <w:rFonts w:hint="eastAsia"/>
                <w:sz w:val="24"/>
                <w:lang w:val="en-US" w:eastAsia="zh-CN"/>
              </w:rPr>
              <w:t>4500</w:t>
            </w:r>
          </w:p>
        </w:tc>
        <w:tc>
          <w:tcPr>
            <w:tcW w:w="990" w:type="dxa"/>
            <w:tcBorders>
              <w:tl2br w:val="nil"/>
              <w:tr2bl w:val="nil"/>
            </w:tcBorders>
            <w:vAlign w:val="center"/>
          </w:tcPr>
          <w:p w14:paraId="3995D5E0">
            <w:pPr>
              <w:jc w:val="center"/>
              <w:rPr>
                <w:rFonts w:hint="default"/>
                <w:sz w:val="24"/>
                <w:lang w:val="en-US" w:eastAsia="zh-CN"/>
              </w:rPr>
            </w:pPr>
            <w:r>
              <w:rPr>
                <w:rFonts w:hint="eastAsia"/>
                <w:sz w:val="24"/>
                <w:lang w:val="en-US" w:eastAsia="zh-CN"/>
              </w:rPr>
              <w:t>处</w:t>
            </w:r>
          </w:p>
        </w:tc>
        <w:tc>
          <w:tcPr>
            <w:tcW w:w="960" w:type="dxa"/>
            <w:tcBorders>
              <w:tl2br w:val="nil"/>
              <w:tr2bl w:val="nil"/>
            </w:tcBorders>
            <w:vAlign w:val="center"/>
          </w:tcPr>
          <w:p w14:paraId="23B1B90A">
            <w:pPr>
              <w:jc w:val="center"/>
              <w:rPr>
                <w:rFonts w:hint="default" w:eastAsia="宋体"/>
                <w:sz w:val="24"/>
                <w:lang w:val="en-US" w:eastAsia="zh-CN"/>
              </w:rPr>
            </w:pPr>
            <w:r>
              <w:rPr>
                <w:rFonts w:hint="eastAsia"/>
                <w:sz w:val="24"/>
                <w:lang w:val="en-US" w:eastAsia="zh-CN"/>
              </w:rPr>
              <w:t>4</w:t>
            </w:r>
          </w:p>
        </w:tc>
        <w:tc>
          <w:tcPr>
            <w:tcW w:w="1080" w:type="dxa"/>
            <w:tcBorders>
              <w:tl2br w:val="nil"/>
              <w:tr2bl w:val="nil"/>
            </w:tcBorders>
            <w:vAlign w:val="center"/>
          </w:tcPr>
          <w:p w14:paraId="07EFA80D">
            <w:pPr>
              <w:jc w:val="center"/>
              <w:rPr>
                <w:rFonts w:hint="default" w:eastAsia="宋体"/>
                <w:sz w:val="24"/>
                <w:lang w:val="en-US" w:eastAsia="zh-CN"/>
              </w:rPr>
            </w:pPr>
            <w:r>
              <w:rPr>
                <w:rFonts w:hint="eastAsia"/>
                <w:sz w:val="24"/>
                <w:lang w:val="en-US" w:eastAsia="zh-CN"/>
              </w:rPr>
              <w:t>18000</w:t>
            </w:r>
          </w:p>
        </w:tc>
        <w:tc>
          <w:tcPr>
            <w:tcW w:w="1185" w:type="dxa"/>
            <w:vMerge w:val="continue"/>
            <w:tcBorders>
              <w:tl2br w:val="nil"/>
              <w:tr2bl w:val="nil"/>
            </w:tcBorders>
            <w:vAlign w:val="center"/>
          </w:tcPr>
          <w:p w14:paraId="18922933">
            <w:pPr>
              <w:jc w:val="center"/>
              <w:rPr>
                <w:rFonts w:hint="eastAsia"/>
                <w:sz w:val="24"/>
              </w:rPr>
            </w:pPr>
          </w:p>
        </w:tc>
      </w:tr>
      <w:tr w14:paraId="644B4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5" w:type="dxa"/>
            <w:tcBorders>
              <w:tl2br w:val="nil"/>
              <w:tr2bl w:val="nil"/>
            </w:tcBorders>
            <w:vAlign w:val="center"/>
          </w:tcPr>
          <w:p w14:paraId="10B4D5EE">
            <w:pPr>
              <w:tabs>
                <w:tab w:val="left" w:pos="527"/>
              </w:tabs>
              <w:jc w:val="left"/>
              <w:rPr>
                <w:sz w:val="28"/>
                <w:szCs w:val="36"/>
              </w:rPr>
            </w:pPr>
            <w:r>
              <w:rPr>
                <w:rFonts w:hint="eastAsia"/>
                <w:sz w:val="28"/>
                <w:szCs w:val="36"/>
              </w:rPr>
              <w:t>合计</w:t>
            </w:r>
          </w:p>
        </w:tc>
        <w:tc>
          <w:tcPr>
            <w:tcW w:w="4095" w:type="dxa"/>
            <w:tcBorders>
              <w:tl2br w:val="nil"/>
              <w:tr2bl w:val="nil"/>
            </w:tcBorders>
            <w:vAlign w:val="center"/>
          </w:tcPr>
          <w:p w14:paraId="2DE73208">
            <w:pPr>
              <w:jc w:val="center"/>
              <w:rPr>
                <w:sz w:val="24"/>
              </w:rPr>
            </w:pPr>
          </w:p>
        </w:tc>
        <w:tc>
          <w:tcPr>
            <w:tcW w:w="1035" w:type="dxa"/>
            <w:tcBorders>
              <w:tl2br w:val="nil"/>
              <w:tr2bl w:val="nil"/>
            </w:tcBorders>
            <w:vAlign w:val="center"/>
          </w:tcPr>
          <w:p w14:paraId="19897F18">
            <w:pPr>
              <w:jc w:val="center"/>
              <w:rPr>
                <w:sz w:val="24"/>
              </w:rPr>
            </w:pPr>
          </w:p>
        </w:tc>
        <w:tc>
          <w:tcPr>
            <w:tcW w:w="990" w:type="dxa"/>
            <w:tcBorders>
              <w:tl2br w:val="nil"/>
              <w:tr2bl w:val="nil"/>
            </w:tcBorders>
            <w:vAlign w:val="center"/>
          </w:tcPr>
          <w:p w14:paraId="12D9EE6F">
            <w:pPr>
              <w:jc w:val="center"/>
              <w:rPr>
                <w:sz w:val="24"/>
              </w:rPr>
            </w:pPr>
          </w:p>
        </w:tc>
        <w:tc>
          <w:tcPr>
            <w:tcW w:w="960" w:type="dxa"/>
            <w:tcBorders>
              <w:tl2br w:val="nil"/>
              <w:tr2bl w:val="nil"/>
            </w:tcBorders>
            <w:vAlign w:val="center"/>
          </w:tcPr>
          <w:p w14:paraId="494BB774">
            <w:pPr>
              <w:jc w:val="center"/>
              <w:rPr>
                <w:sz w:val="24"/>
              </w:rPr>
            </w:pPr>
          </w:p>
        </w:tc>
        <w:tc>
          <w:tcPr>
            <w:tcW w:w="1080" w:type="dxa"/>
            <w:tcBorders>
              <w:tl2br w:val="nil"/>
              <w:tr2bl w:val="nil"/>
            </w:tcBorders>
            <w:vAlign w:val="center"/>
          </w:tcPr>
          <w:p w14:paraId="41877D96">
            <w:pPr>
              <w:jc w:val="center"/>
              <w:rPr>
                <w:rFonts w:hint="default" w:eastAsia="宋体"/>
                <w:sz w:val="24"/>
                <w:lang w:val="en-US" w:eastAsia="zh-CN"/>
              </w:rPr>
            </w:pPr>
            <w:r>
              <w:rPr>
                <w:rFonts w:hint="eastAsia"/>
                <w:sz w:val="24"/>
                <w:lang w:val="en-US" w:eastAsia="zh-CN"/>
              </w:rPr>
              <w:t>35000</w:t>
            </w:r>
          </w:p>
        </w:tc>
        <w:tc>
          <w:tcPr>
            <w:tcW w:w="1185" w:type="dxa"/>
            <w:tcBorders>
              <w:tl2br w:val="nil"/>
              <w:tr2bl w:val="nil"/>
            </w:tcBorders>
            <w:vAlign w:val="center"/>
          </w:tcPr>
          <w:p w14:paraId="60F98352">
            <w:pPr>
              <w:jc w:val="center"/>
              <w:rPr>
                <w:sz w:val="24"/>
              </w:rPr>
            </w:pPr>
          </w:p>
        </w:tc>
      </w:tr>
    </w:tbl>
    <w:p w14:paraId="766A7F8C">
      <w:pPr>
        <w:adjustRightInd w:val="0"/>
        <w:snapToGrid w:val="0"/>
        <w:spacing w:line="360" w:lineRule="auto"/>
        <w:ind w:firstLine="602" w:firstLineChars="200"/>
        <w:jc w:val="center"/>
        <w:rPr>
          <w:rFonts w:hint="eastAsia" w:ascii="仿宋" w:hAnsi="仿宋" w:eastAsia="仿宋" w:cs="仿宋"/>
          <w:b/>
          <w:bCs/>
          <w:sz w:val="30"/>
          <w:szCs w:val="30"/>
        </w:rPr>
      </w:pPr>
    </w:p>
    <w:p w14:paraId="209EBE2B">
      <w:pPr>
        <w:adjustRightInd w:val="0"/>
        <w:snapToGrid w:val="0"/>
        <w:spacing w:line="360" w:lineRule="auto"/>
        <w:ind w:firstLine="602" w:firstLineChars="200"/>
        <w:jc w:val="center"/>
        <w:rPr>
          <w:rFonts w:hint="eastAsia" w:ascii="仿宋" w:hAnsi="仿宋" w:eastAsia="仿宋" w:cs="仿宋"/>
          <w:b/>
          <w:bCs/>
          <w:sz w:val="30"/>
          <w:szCs w:val="30"/>
        </w:rPr>
      </w:pPr>
    </w:p>
    <w:p w14:paraId="78A4B939">
      <w:pPr>
        <w:adjustRightInd w:val="0"/>
        <w:snapToGrid w:val="0"/>
        <w:spacing w:line="360" w:lineRule="auto"/>
        <w:ind w:firstLine="602" w:firstLineChars="200"/>
        <w:jc w:val="center"/>
        <w:rPr>
          <w:rFonts w:hint="eastAsia" w:ascii="仿宋" w:hAnsi="仿宋" w:eastAsia="仿宋" w:cs="仿宋"/>
          <w:b/>
          <w:bCs/>
          <w:sz w:val="30"/>
          <w:szCs w:val="30"/>
        </w:rPr>
      </w:pPr>
    </w:p>
    <w:p w14:paraId="746CAC92">
      <w:pPr>
        <w:adjustRightInd w:val="0"/>
        <w:snapToGrid w:val="0"/>
        <w:spacing w:line="360" w:lineRule="auto"/>
        <w:ind w:firstLine="602" w:firstLineChars="200"/>
        <w:jc w:val="center"/>
        <w:rPr>
          <w:rFonts w:hint="eastAsia" w:ascii="仿宋" w:hAnsi="仿宋" w:eastAsia="仿宋" w:cs="仿宋"/>
          <w:b/>
          <w:bCs/>
          <w:sz w:val="30"/>
          <w:szCs w:val="30"/>
        </w:rPr>
      </w:pPr>
    </w:p>
    <w:p w14:paraId="171DAC91">
      <w:pPr>
        <w:adjustRightInd w:val="0"/>
        <w:snapToGrid w:val="0"/>
        <w:spacing w:line="360" w:lineRule="auto"/>
        <w:ind w:firstLine="602" w:firstLineChars="200"/>
        <w:jc w:val="center"/>
        <w:rPr>
          <w:rFonts w:hint="eastAsia" w:ascii="仿宋" w:hAnsi="仿宋" w:eastAsia="仿宋" w:cs="仿宋"/>
          <w:b/>
          <w:bCs/>
          <w:sz w:val="30"/>
          <w:szCs w:val="30"/>
        </w:rPr>
      </w:pPr>
    </w:p>
    <w:p w14:paraId="774BAF16">
      <w:pPr>
        <w:adjustRightInd w:val="0"/>
        <w:snapToGrid w:val="0"/>
        <w:spacing w:line="360" w:lineRule="auto"/>
        <w:ind w:firstLine="602" w:firstLineChars="200"/>
        <w:jc w:val="center"/>
        <w:rPr>
          <w:rFonts w:hint="eastAsia" w:ascii="仿宋" w:hAnsi="仿宋" w:eastAsia="仿宋" w:cs="仿宋"/>
          <w:b/>
          <w:bCs/>
          <w:sz w:val="30"/>
          <w:szCs w:val="30"/>
        </w:rPr>
      </w:pPr>
    </w:p>
    <w:p w14:paraId="40D9E54B">
      <w:pPr>
        <w:adjustRightInd w:val="0"/>
        <w:snapToGrid w:val="0"/>
        <w:spacing w:line="360" w:lineRule="auto"/>
        <w:ind w:firstLine="602" w:firstLineChars="200"/>
        <w:jc w:val="center"/>
        <w:rPr>
          <w:rFonts w:hint="eastAsia" w:ascii="仿宋" w:hAnsi="仿宋" w:eastAsia="仿宋" w:cs="仿宋"/>
          <w:b/>
          <w:bCs/>
          <w:sz w:val="30"/>
          <w:szCs w:val="30"/>
        </w:rPr>
      </w:pPr>
    </w:p>
    <w:p w14:paraId="378840BF">
      <w:pPr>
        <w:adjustRightInd w:val="0"/>
        <w:snapToGrid w:val="0"/>
        <w:spacing w:line="360" w:lineRule="auto"/>
        <w:ind w:firstLine="602" w:firstLineChars="200"/>
        <w:jc w:val="center"/>
        <w:rPr>
          <w:rFonts w:hint="eastAsia" w:ascii="仿宋" w:hAnsi="仿宋" w:eastAsia="仿宋" w:cs="仿宋"/>
          <w:b/>
          <w:bCs/>
          <w:sz w:val="30"/>
          <w:szCs w:val="30"/>
        </w:rPr>
      </w:pPr>
    </w:p>
    <w:p w14:paraId="37F286A0">
      <w:pPr>
        <w:adjustRightInd w:val="0"/>
        <w:snapToGrid w:val="0"/>
        <w:spacing w:line="360" w:lineRule="auto"/>
        <w:ind w:firstLine="602" w:firstLineChars="200"/>
        <w:jc w:val="center"/>
        <w:rPr>
          <w:rFonts w:hint="eastAsia" w:ascii="仿宋" w:hAnsi="仿宋" w:eastAsia="仿宋" w:cs="仿宋"/>
          <w:b/>
          <w:bCs/>
          <w:sz w:val="30"/>
          <w:szCs w:val="30"/>
        </w:rPr>
      </w:pPr>
    </w:p>
    <w:p w14:paraId="3F5046E5">
      <w:pPr>
        <w:adjustRightInd w:val="0"/>
        <w:snapToGrid w:val="0"/>
        <w:spacing w:line="360" w:lineRule="auto"/>
        <w:ind w:firstLine="602" w:firstLineChars="200"/>
        <w:jc w:val="center"/>
        <w:rPr>
          <w:rFonts w:hint="eastAsia" w:ascii="仿宋" w:hAnsi="仿宋" w:eastAsia="仿宋" w:cs="仿宋"/>
          <w:b/>
          <w:bCs/>
          <w:sz w:val="30"/>
          <w:szCs w:val="30"/>
        </w:rPr>
      </w:pPr>
    </w:p>
    <w:p w14:paraId="63356CFD">
      <w:pPr>
        <w:adjustRightInd w:val="0"/>
        <w:snapToGrid w:val="0"/>
        <w:spacing w:line="360" w:lineRule="auto"/>
        <w:ind w:firstLine="602" w:firstLineChars="200"/>
        <w:jc w:val="center"/>
        <w:rPr>
          <w:rFonts w:hint="eastAsia" w:ascii="仿宋" w:hAnsi="仿宋" w:eastAsia="仿宋" w:cs="仿宋"/>
          <w:b/>
          <w:bCs/>
          <w:sz w:val="30"/>
          <w:szCs w:val="30"/>
        </w:rPr>
      </w:pPr>
    </w:p>
    <w:p w14:paraId="0EC6FC20">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章  投标文件编制要求</w:t>
      </w:r>
    </w:p>
    <w:p w14:paraId="797EA435">
      <w:pPr>
        <w:adjustRightInd w:val="0"/>
        <w:snapToGrid w:val="0"/>
        <w:spacing w:line="360" w:lineRule="auto"/>
        <w:ind w:firstLine="600" w:firstLineChars="200"/>
        <w:rPr>
          <w:rFonts w:ascii="仿宋" w:hAnsi="仿宋" w:eastAsia="仿宋" w:cs="仿宋"/>
          <w:sz w:val="30"/>
          <w:szCs w:val="30"/>
        </w:rPr>
      </w:pPr>
    </w:p>
    <w:p w14:paraId="60E9D0B6">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1.应按本文件规定的格式、顺序制作，每页必须加盖公章。</w:t>
      </w:r>
    </w:p>
    <w:p w14:paraId="5703A29C">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2.投标文件一式三份。</w:t>
      </w:r>
    </w:p>
    <w:p w14:paraId="0870AB6D">
      <w:pPr>
        <w:adjustRightInd w:val="0"/>
        <w:snapToGrid w:val="0"/>
        <w:spacing w:line="360" w:lineRule="auto"/>
        <w:ind w:firstLine="600" w:firstLineChars="200"/>
        <w:rPr>
          <w:rFonts w:hint="eastAsia" w:ascii="宋体" w:hAnsi="宋体" w:eastAsia="仿宋" w:cs="宋体"/>
          <w:sz w:val="21"/>
          <w:szCs w:val="21"/>
          <w:lang w:eastAsia="zh-CN"/>
        </w:rPr>
        <w:sectPr>
          <w:pgSz w:w="11900" w:h="16840"/>
          <w:pgMar w:top="400" w:right="885" w:bottom="400" w:left="985" w:header="0" w:footer="0" w:gutter="0"/>
          <w:cols w:space="720" w:num="1"/>
        </w:sectPr>
      </w:pPr>
      <w:r>
        <w:rPr>
          <w:rFonts w:hint="eastAsia" w:ascii="仿宋" w:hAnsi="仿宋" w:eastAsia="仿宋" w:cs="仿宋"/>
          <w:sz w:val="30"/>
          <w:szCs w:val="30"/>
        </w:rPr>
        <w:t>3.投标文件装订后用密封袋密封，在密封袋上注明投标日期和投标人名称（全称</w:t>
      </w:r>
      <w:r>
        <w:rPr>
          <w:rFonts w:hint="eastAsia" w:ascii="仿宋" w:hAnsi="仿宋" w:eastAsia="仿宋" w:cs="仿宋"/>
          <w:sz w:val="30"/>
          <w:szCs w:val="30"/>
          <w:lang w:eastAsia="zh-CN"/>
        </w:rPr>
        <w:t>）</w:t>
      </w:r>
    </w:p>
    <w:bookmarkEnd w:id="17"/>
    <w:bookmarkEnd w:id="18"/>
    <w:p w14:paraId="3C4A3EAD">
      <w:pPr>
        <w:adjustRightInd w:val="0"/>
        <w:snapToGrid w:val="0"/>
        <w:spacing w:line="360" w:lineRule="auto"/>
        <w:ind w:firstLine="964" w:firstLineChars="300"/>
        <w:rPr>
          <w:rFonts w:hint="eastAsia" w:ascii="仿宋" w:hAnsi="仿宋" w:eastAsia="仿宋" w:cs="仿宋"/>
          <w:sz w:val="32"/>
          <w:szCs w:val="32"/>
        </w:rPr>
      </w:pPr>
      <w:r>
        <w:rPr>
          <w:rFonts w:hint="eastAsia"/>
          <w:b/>
          <w:sz w:val="32"/>
          <w:szCs w:val="32"/>
        </w:rPr>
        <w:t>项目</w:t>
      </w:r>
      <w:r>
        <w:rPr>
          <w:rFonts w:hint="eastAsia"/>
          <w:b/>
          <w:sz w:val="32"/>
          <w:szCs w:val="32"/>
          <w:lang w:val="en-US" w:eastAsia="zh-CN"/>
        </w:rPr>
        <w:t>名称</w:t>
      </w:r>
      <w:r>
        <w:rPr>
          <w:rFonts w:hint="eastAsia"/>
          <w:b/>
          <w:sz w:val="32"/>
          <w:szCs w:val="32"/>
          <w:lang w:eastAsia="zh-CN"/>
        </w:rPr>
        <w:t>：</w:t>
      </w:r>
    </w:p>
    <w:p w14:paraId="18B9432D">
      <w:pPr>
        <w:adjustRightInd w:val="0"/>
        <w:snapToGrid w:val="0"/>
        <w:spacing w:line="360" w:lineRule="auto"/>
        <w:ind w:firstLine="964" w:firstLineChars="300"/>
        <w:rPr>
          <w:b/>
          <w:sz w:val="32"/>
          <w:szCs w:val="32"/>
        </w:rPr>
      </w:pPr>
      <w:r>
        <w:rPr>
          <w:rFonts w:hint="eastAsia" w:ascii="仿宋" w:hAnsi="仿宋" w:eastAsia="仿宋" w:cs="仿宋"/>
          <w:b/>
          <w:bCs/>
          <w:sz w:val="32"/>
          <w:szCs w:val="32"/>
          <w:lang w:val="en-US" w:eastAsia="zh-CN"/>
        </w:rPr>
        <w:t>项目编号：</w:t>
      </w:r>
    </w:p>
    <w:p w14:paraId="07A9D7FD">
      <w:pPr>
        <w:pStyle w:val="30"/>
        <w:rPr>
          <w:b/>
          <w:sz w:val="32"/>
        </w:rPr>
      </w:pPr>
    </w:p>
    <w:p w14:paraId="0BDD677E">
      <w:pPr>
        <w:spacing w:line="480" w:lineRule="auto"/>
        <w:ind w:left="600"/>
        <w:jc w:val="center"/>
        <w:rPr>
          <w:b/>
          <w:sz w:val="56"/>
        </w:rPr>
      </w:pPr>
    </w:p>
    <w:p w14:paraId="507D4E59">
      <w:pPr>
        <w:spacing w:line="480" w:lineRule="auto"/>
        <w:ind w:left="600"/>
        <w:jc w:val="center"/>
        <w:rPr>
          <w:b/>
          <w:sz w:val="56"/>
        </w:rPr>
      </w:pPr>
      <w:r>
        <w:rPr>
          <w:rFonts w:hint="eastAsia"/>
          <w:b/>
          <w:sz w:val="56"/>
        </w:rPr>
        <w:t>报价文件</w:t>
      </w:r>
    </w:p>
    <w:p w14:paraId="7CACDC91">
      <w:pPr>
        <w:pStyle w:val="30"/>
        <w:ind w:left="1200"/>
        <w:rPr>
          <w:rFonts w:ascii="仿宋_GB2312" w:hAnsi="仿宋_GB2312" w:eastAsia="仿宋_GB2312" w:cs="仿宋_GB2312"/>
          <w:b/>
          <w:sz w:val="32"/>
        </w:rPr>
      </w:pPr>
    </w:p>
    <w:p w14:paraId="7587D3F7">
      <w:pPr>
        <w:pStyle w:val="30"/>
        <w:ind w:left="1200"/>
        <w:rPr>
          <w:rFonts w:ascii="仿宋_GB2312" w:hAnsi="仿宋_GB2312" w:eastAsia="仿宋_GB2312" w:cs="仿宋_GB2312"/>
          <w:b/>
          <w:sz w:val="32"/>
        </w:rPr>
      </w:pPr>
    </w:p>
    <w:p w14:paraId="3407ABA1">
      <w:pPr>
        <w:pStyle w:val="30"/>
        <w:ind w:left="1200"/>
        <w:rPr>
          <w:rFonts w:ascii="仿宋_GB2312" w:hAnsi="仿宋_GB2312" w:eastAsia="仿宋_GB2312" w:cs="仿宋_GB2312"/>
          <w:b/>
          <w:sz w:val="32"/>
        </w:rPr>
      </w:pPr>
    </w:p>
    <w:p w14:paraId="01F86B76">
      <w:pPr>
        <w:pStyle w:val="30"/>
        <w:ind w:left="1200"/>
        <w:rPr>
          <w:rFonts w:ascii="仿宋_GB2312" w:hAnsi="仿宋_GB2312" w:eastAsia="仿宋_GB2312" w:cs="仿宋_GB2312"/>
          <w:b/>
          <w:sz w:val="32"/>
        </w:rPr>
      </w:pPr>
    </w:p>
    <w:p w14:paraId="4CCE8DAF">
      <w:pPr>
        <w:pStyle w:val="30"/>
        <w:ind w:left="1200"/>
        <w:rPr>
          <w:rFonts w:ascii="仿宋_GB2312" w:hAnsi="仿宋_GB2312" w:eastAsia="仿宋_GB2312" w:cs="仿宋_GB2312"/>
          <w:b/>
          <w:sz w:val="32"/>
        </w:rPr>
      </w:pPr>
    </w:p>
    <w:p w14:paraId="2D7B3622">
      <w:pPr>
        <w:pStyle w:val="30"/>
        <w:ind w:left="1200"/>
        <w:rPr>
          <w:rFonts w:ascii="仿宋_GB2312" w:hAnsi="仿宋_GB2312" w:eastAsia="仿宋_GB2312" w:cs="仿宋_GB2312"/>
          <w:b/>
          <w:sz w:val="32"/>
        </w:rPr>
      </w:pPr>
    </w:p>
    <w:p w14:paraId="5DD0CDB2">
      <w:pPr>
        <w:pStyle w:val="30"/>
        <w:ind w:left="1200"/>
        <w:rPr>
          <w:rFonts w:ascii="仿宋_GB2312" w:hAnsi="仿宋_GB2312" w:eastAsia="仿宋_GB2312" w:cs="仿宋_GB2312"/>
        </w:rPr>
      </w:pPr>
    </w:p>
    <w:p w14:paraId="09EC0E3C">
      <w:pPr>
        <w:pStyle w:val="30"/>
        <w:ind w:left="1200"/>
        <w:rPr>
          <w:rFonts w:ascii="仿宋_GB2312" w:hAnsi="仿宋_GB2312" w:eastAsia="仿宋_GB2312" w:cs="仿宋_GB2312"/>
        </w:rPr>
      </w:pPr>
    </w:p>
    <w:p w14:paraId="3EAEEBF0">
      <w:pPr>
        <w:ind w:right="40" w:rightChars="19" w:firstLine="560"/>
        <w:rPr>
          <w:sz w:val="28"/>
          <w:szCs w:val="28"/>
          <w:u w:val="single"/>
        </w:rPr>
      </w:pPr>
      <w:r>
        <w:rPr>
          <w:rFonts w:hint="eastAsia"/>
          <w:sz w:val="28"/>
          <w:szCs w:val="28"/>
        </w:rPr>
        <w:t>　　　　供应商：</w:t>
      </w:r>
      <w:r>
        <w:rPr>
          <w:rFonts w:hint="eastAsia"/>
          <w:sz w:val="28"/>
          <w:szCs w:val="28"/>
          <w:u w:val="single"/>
        </w:rPr>
        <w:t>　　　　　　　（盖章）</w:t>
      </w:r>
    </w:p>
    <w:p w14:paraId="666CCDC6">
      <w:pPr>
        <w:ind w:right="40" w:rightChars="19" w:firstLine="560"/>
        <w:jc w:val="center"/>
        <w:rPr>
          <w:sz w:val="28"/>
          <w:szCs w:val="28"/>
        </w:rPr>
      </w:pPr>
    </w:p>
    <w:p w14:paraId="581FCA0D">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424007A1">
      <w:pPr>
        <w:spacing w:line="400" w:lineRule="atLeast"/>
        <w:ind w:firstLine="560"/>
        <w:jc w:val="center"/>
        <w:rPr>
          <w:sz w:val="28"/>
          <w:szCs w:val="28"/>
        </w:rPr>
      </w:pPr>
    </w:p>
    <w:p w14:paraId="746F0E2B">
      <w:pPr>
        <w:spacing w:line="400" w:lineRule="atLeast"/>
        <w:ind w:firstLine="560"/>
        <w:sectPr>
          <w:headerReference r:id="rId3" w:type="default"/>
          <w:footerReference r:id="rId4" w:type="default"/>
          <w:pgSz w:w="11906" w:h="16838"/>
          <w:pgMar w:top="1440" w:right="1080" w:bottom="1440" w:left="1080" w:header="851" w:footer="851" w:gutter="0"/>
          <w:cols w:space="720" w:num="1"/>
          <w:docGrid w:linePitch="312" w:charSpace="0"/>
        </w:sect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044D43E2">
      <w:pPr>
        <w:spacing w:before="100" w:beforeAutospacing="1" w:after="100" w:afterAutospacing="1"/>
        <w:jc w:val="center"/>
        <w:outlineLvl w:val="1"/>
        <w:rPr>
          <w:rFonts w:ascii="仿宋" w:hAnsi="仿宋" w:eastAsia="仿宋" w:cs="仿宋"/>
          <w:b/>
          <w:bCs/>
          <w:sz w:val="28"/>
          <w:szCs w:val="28"/>
        </w:rPr>
      </w:pPr>
      <w:bookmarkStart w:id="53" w:name="_Toc515800191"/>
      <w:bookmarkStart w:id="54" w:name="_Toc13813"/>
      <w:bookmarkStart w:id="55" w:name="_Toc30598"/>
      <w:bookmarkStart w:id="56" w:name="_Toc20511"/>
      <w:bookmarkStart w:id="57" w:name="_Toc5034"/>
      <w:bookmarkStart w:id="58" w:name="_Toc8057"/>
      <w:bookmarkStart w:id="59" w:name="_Toc22243"/>
      <w:bookmarkStart w:id="60" w:name="_Toc360113102"/>
      <w:bookmarkStart w:id="61" w:name="_Toc330225910"/>
      <w:r>
        <w:rPr>
          <w:rFonts w:hint="eastAsia" w:ascii="仿宋" w:hAnsi="仿宋" w:eastAsia="仿宋" w:cs="仿宋"/>
          <w:b/>
          <w:bCs/>
          <w:sz w:val="28"/>
          <w:szCs w:val="28"/>
        </w:rPr>
        <w:t>1.投标承诺函</w:t>
      </w:r>
      <w:bookmarkEnd w:id="53"/>
      <w:bookmarkEnd w:id="54"/>
    </w:p>
    <w:p w14:paraId="39D3D196">
      <w:pPr>
        <w:spacing w:line="360" w:lineRule="auto"/>
        <w:rPr>
          <w:rFonts w:ascii="宋体" w:hAnsi="宋体"/>
          <w:szCs w:val="21"/>
        </w:rPr>
      </w:pPr>
      <w:r>
        <w:rPr>
          <w:rFonts w:hint="eastAsia" w:ascii="宋体" w:hAnsi="宋体"/>
          <w:szCs w:val="21"/>
        </w:rPr>
        <w:t>（招标人名称）：</w:t>
      </w:r>
    </w:p>
    <w:p w14:paraId="65804985">
      <w:pPr>
        <w:spacing w:line="360" w:lineRule="auto"/>
        <w:ind w:firstLine="420" w:firstLineChars="200"/>
        <w:rPr>
          <w:rFonts w:ascii="宋体" w:hAnsi="宋体"/>
          <w:szCs w:val="21"/>
        </w:rPr>
      </w:pPr>
      <w:r>
        <w:rPr>
          <w:rFonts w:hint="eastAsia" w:ascii="宋体" w:hAnsi="宋体"/>
          <w:szCs w:val="21"/>
        </w:rPr>
        <w:t>经研究，我方决定参加</w:t>
      </w:r>
      <w:r>
        <w:rPr>
          <w:rFonts w:hint="eastAsia" w:ascii="宋体" w:hAnsi="宋体"/>
          <w:szCs w:val="21"/>
          <w:u w:val="single"/>
        </w:rPr>
        <w:t xml:space="preserve"> （项目名称） </w:t>
      </w:r>
      <w:r>
        <w:rPr>
          <w:rFonts w:hint="eastAsia" w:ascii="宋体" w:hAnsi="宋体"/>
          <w:szCs w:val="21"/>
        </w:rPr>
        <w:t>项目（项目编号：）的招标活动并提交投标文件。为此，我方郑重声明以下诸点，并负法律责任：</w:t>
      </w:r>
    </w:p>
    <w:p w14:paraId="0DA83DEB">
      <w:pPr>
        <w:spacing w:line="360" w:lineRule="auto"/>
        <w:ind w:firstLine="420" w:firstLineChars="200"/>
        <w:rPr>
          <w:rFonts w:ascii="宋体" w:hAnsi="宋体"/>
          <w:szCs w:val="21"/>
        </w:rPr>
      </w:pPr>
      <w:r>
        <w:rPr>
          <w:rFonts w:hint="eastAsia" w:ascii="宋体" w:hAnsi="宋体"/>
          <w:szCs w:val="21"/>
        </w:rPr>
        <w:t>1.我方完全理解并接受招标文件的各项规定和要求，对招标文件的合理性、合法性不再有异议，同意按照招标文件要求提供与投标有关的一切数据或资料。</w:t>
      </w:r>
    </w:p>
    <w:p w14:paraId="182415EE">
      <w:pPr>
        <w:spacing w:line="360" w:lineRule="auto"/>
        <w:ind w:firstLine="420" w:firstLineChars="200"/>
        <w:rPr>
          <w:rFonts w:ascii="宋体" w:hAnsi="宋体"/>
          <w:szCs w:val="21"/>
        </w:rPr>
      </w:pPr>
      <w:r>
        <w:rPr>
          <w:rFonts w:hint="eastAsia" w:ascii="宋体" w:hAnsi="宋体"/>
          <w:szCs w:val="21"/>
        </w:rPr>
        <w:t>2.我方承诺除招标文件条款响应和偏离表列出的偏离外，我方响应招标文件的全部要求。</w:t>
      </w:r>
    </w:p>
    <w:p w14:paraId="5F69BA3C">
      <w:pPr>
        <w:spacing w:line="360" w:lineRule="auto"/>
        <w:ind w:firstLine="420" w:firstLineChars="200"/>
        <w:rPr>
          <w:rFonts w:ascii="宋体" w:hAnsi="宋体"/>
          <w:szCs w:val="21"/>
        </w:rPr>
      </w:pPr>
      <w:r>
        <w:rPr>
          <w:rFonts w:hint="eastAsia" w:ascii="宋体" w:hAnsi="宋体"/>
          <w:szCs w:val="21"/>
        </w:rPr>
        <w:t>3.我方承诺在招标文件规定的投标有效期内不撤销投标文件。</w:t>
      </w:r>
    </w:p>
    <w:p w14:paraId="352D6008">
      <w:pPr>
        <w:spacing w:line="360" w:lineRule="auto"/>
        <w:ind w:firstLine="420" w:firstLineChars="200"/>
        <w:rPr>
          <w:rFonts w:ascii="宋体" w:hAnsi="宋体"/>
          <w:szCs w:val="21"/>
        </w:rPr>
      </w:pPr>
      <w:r>
        <w:rPr>
          <w:rFonts w:hint="eastAsia" w:ascii="宋体" w:hAnsi="宋体"/>
          <w:szCs w:val="21"/>
        </w:rPr>
        <w:t>4.如我方中标，我方承诺：</w:t>
      </w:r>
    </w:p>
    <w:p w14:paraId="4CFC403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）在收到中标通知书后，在中标通知书规定的期限内与你方签订合同；</w:t>
      </w:r>
    </w:p>
    <w:p w14:paraId="4071F85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410DE1AD">
      <w:pPr>
        <w:spacing w:line="360" w:lineRule="auto"/>
        <w:ind w:firstLine="420" w:firstLineChars="200"/>
        <w:rPr>
          <w:rFonts w:ascii="宋体" w:hAnsi="宋体"/>
          <w:szCs w:val="21"/>
        </w:rPr>
      </w:pPr>
      <w:r>
        <w:rPr>
          <w:rFonts w:hint="eastAsia" w:ascii="宋体" w:hAnsi="宋体"/>
          <w:szCs w:val="21"/>
        </w:rPr>
        <w:t>（3）在合同约定的期限内完成合同规定的全部义务。</w:t>
      </w:r>
    </w:p>
    <w:p w14:paraId="0200D55C">
      <w:pPr>
        <w:spacing w:line="360" w:lineRule="auto"/>
        <w:ind w:firstLine="420" w:firstLineChars="200"/>
        <w:rPr>
          <w:rFonts w:ascii="宋体" w:hAnsi="宋体"/>
          <w:szCs w:val="21"/>
        </w:rPr>
      </w:pPr>
      <w:r>
        <w:rPr>
          <w:rFonts w:hint="eastAsia" w:ascii="宋体" w:hAnsi="宋体"/>
          <w:szCs w:val="21"/>
        </w:rPr>
        <w:t>5．我方在此声明，所提交的投标文件及有关资料内容完整、真实和准确。</w:t>
      </w:r>
    </w:p>
    <w:p w14:paraId="206872E5">
      <w:pPr>
        <w:spacing w:line="360" w:lineRule="auto"/>
        <w:ind w:firstLine="420" w:firstLineChars="200"/>
        <w:rPr>
          <w:rFonts w:ascii="宋体" w:hAnsi="宋体"/>
          <w:szCs w:val="21"/>
        </w:rPr>
      </w:pPr>
      <w:r>
        <w:rPr>
          <w:rFonts w:hint="eastAsia" w:ascii="宋体" w:hAnsi="宋体"/>
          <w:szCs w:val="21"/>
        </w:rPr>
        <w:t>6.（其他补充说明）。</w:t>
      </w:r>
    </w:p>
    <w:p w14:paraId="32F354EE">
      <w:pPr>
        <w:spacing w:line="360" w:lineRule="auto"/>
        <w:ind w:firstLine="420" w:firstLineChars="200"/>
        <w:rPr>
          <w:rFonts w:ascii="宋体" w:hAnsi="宋体"/>
          <w:szCs w:val="21"/>
        </w:rPr>
      </w:pPr>
    </w:p>
    <w:p w14:paraId="547BCB71">
      <w:pPr>
        <w:spacing w:line="360" w:lineRule="auto"/>
        <w:ind w:firstLine="420" w:firstLineChars="200"/>
        <w:rPr>
          <w:rFonts w:ascii="宋体" w:hAnsi="宋体"/>
          <w:szCs w:val="21"/>
        </w:rPr>
      </w:pPr>
    </w:p>
    <w:p w14:paraId="513EF208">
      <w:pPr>
        <w:spacing w:line="360" w:lineRule="auto"/>
        <w:ind w:firstLine="3685" w:firstLineChars="1755"/>
        <w:rPr>
          <w:rFonts w:ascii="宋体" w:hAnsi="宋体"/>
          <w:szCs w:val="21"/>
        </w:rPr>
      </w:pPr>
      <w:r>
        <w:rPr>
          <w:rFonts w:hint="eastAsia" w:ascii="宋体" w:hAnsi="宋体"/>
          <w:szCs w:val="21"/>
        </w:rPr>
        <w:t>投 标 人：（盖单位公章）</w:t>
      </w:r>
    </w:p>
    <w:p w14:paraId="60931243">
      <w:pPr>
        <w:spacing w:line="360" w:lineRule="auto"/>
        <w:ind w:firstLine="3685" w:firstLineChars="1755"/>
        <w:rPr>
          <w:rFonts w:ascii="宋体" w:hAnsi="宋体"/>
          <w:szCs w:val="21"/>
        </w:rPr>
      </w:pPr>
      <w:r>
        <w:rPr>
          <w:rFonts w:hint="eastAsia" w:ascii="宋体" w:hAnsi="宋体"/>
          <w:szCs w:val="21"/>
        </w:rPr>
        <w:t>法定代表人或其委托代理人：（签字或印章）</w:t>
      </w:r>
    </w:p>
    <w:p w14:paraId="484A2E81">
      <w:pPr>
        <w:spacing w:line="360" w:lineRule="auto"/>
        <w:ind w:firstLine="3685" w:firstLineChars="1755"/>
        <w:rPr>
          <w:rFonts w:ascii="宋体" w:hAnsi="宋体"/>
          <w:szCs w:val="21"/>
        </w:rPr>
      </w:pPr>
      <w:r>
        <w:rPr>
          <w:rFonts w:hint="eastAsia" w:ascii="宋体" w:hAnsi="宋体"/>
          <w:szCs w:val="21"/>
        </w:rPr>
        <w:t>日    期：年月日</w:t>
      </w:r>
    </w:p>
    <w:p w14:paraId="372ECFE7">
      <w:pPr>
        <w:topLinePunct/>
        <w:spacing w:line="600" w:lineRule="exact"/>
        <w:ind w:firstLine="480"/>
        <w:jc w:val="center"/>
        <w:rPr>
          <w:rFonts w:ascii="仿宋" w:hAnsi="仿宋" w:eastAsia="仿宋"/>
          <w:b/>
          <w:sz w:val="28"/>
          <w:szCs w:val="28"/>
        </w:rPr>
      </w:pPr>
    </w:p>
    <w:p w14:paraId="4383DB41">
      <w:pPr>
        <w:topLinePunct/>
        <w:spacing w:line="600" w:lineRule="exact"/>
        <w:ind w:firstLine="480"/>
        <w:jc w:val="center"/>
        <w:rPr>
          <w:rFonts w:ascii="仿宋" w:hAnsi="仿宋" w:eastAsia="仿宋"/>
          <w:b/>
          <w:sz w:val="28"/>
          <w:szCs w:val="28"/>
        </w:rPr>
      </w:pPr>
    </w:p>
    <w:p w14:paraId="3F095FC1">
      <w:pPr>
        <w:topLinePunct/>
        <w:spacing w:line="600" w:lineRule="exact"/>
        <w:ind w:firstLine="480"/>
        <w:jc w:val="center"/>
        <w:rPr>
          <w:rFonts w:ascii="仿宋" w:hAnsi="仿宋" w:eastAsia="仿宋"/>
          <w:b/>
          <w:sz w:val="28"/>
          <w:szCs w:val="28"/>
        </w:rPr>
      </w:pPr>
    </w:p>
    <w:p w14:paraId="4BA3757D">
      <w:pPr>
        <w:topLinePunct/>
        <w:spacing w:line="600" w:lineRule="exact"/>
        <w:ind w:firstLine="480"/>
        <w:jc w:val="center"/>
        <w:rPr>
          <w:rFonts w:ascii="仿宋" w:hAnsi="仿宋" w:eastAsia="仿宋"/>
          <w:b/>
          <w:sz w:val="28"/>
          <w:szCs w:val="28"/>
        </w:rPr>
      </w:pPr>
    </w:p>
    <w:p w14:paraId="4A84B837">
      <w:pPr>
        <w:topLinePunct/>
        <w:spacing w:line="600" w:lineRule="exact"/>
        <w:ind w:firstLine="480"/>
        <w:jc w:val="center"/>
        <w:rPr>
          <w:rFonts w:ascii="仿宋" w:hAnsi="仿宋" w:eastAsia="仿宋"/>
          <w:b/>
          <w:sz w:val="28"/>
          <w:szCs w:val="28"/>
        </w:rPr>
      </w:pPr>
    </w:p>
    <w:p w14:paraId="7DE229C0">
      <w:pPr>
        <w:topLinePunct/>
        <w:spacing w:line="600" w:lineRule="exact"/>
        <w:ind w:firstLine="480"/>
        <w:jc w:val="center"/>
        <w:rPr>
          <w:rFonts w:ascii="仿宋" w:hAnsi="仿宋" w:eastAsia="仿宋"/>
          <w:b/>
          <w:sz w:val="28"/>
          <w:szCs w:val="28"/>
        </w:rPr>
      </w:pPr>
    </w:p>
    <w:p w14:paraId="2F01D0D9">
      <w:pPr>
        <w:topLinePunct/>
        <w:spacing w:line="600" w:lineRule="exact"/>
        <w:ind w:firstLine="480"/>
        <w:jc w:val="center"/>
        <w:rPr>
          <w:rFonts w:ascii="仿宋" w:hAnsi="仿宋" w:eastAsia="仿宋"/>
          <w:b/>
          <w:sz w:val="28"/>
          <w:szCs w:val="28"/>
        </w:rPr>
      </w:pPr>
    </w:p>
    <w:p w14:paraId="48D61F7C">
      <w:pPr>
        <w:topLinePunct/>
        <w:spacing w:line="600" w:lineRule="exact"/>
        <w:ind w:firstLine="480"/>
        <w:jc w:val="center"/>
        <w:rPr>
          <w:rFonts w:ascii="仿宋" w:hAnsi="仿宋" w:eastAsia="仿宋"/>
          <w:bCs/>
          <w:sz w:val="28"/>
          <w:szCs w:val="28"/>
        </w:rPr>
      </w:pPr>
      <w:r>
        <w:rPr>
          <w:rFonts w:hint="eastAsia" w:ascii="仿宋" w:hAnsi="仿宋" w:eastAsia="仿宋"/>
          <w:b/>
          <w:bCs/>
          <w:sz w:val="28"/>
          <w:szCs w:val="28"/>
        </w:rPr>
        <w:t>2.法定代表人身份证明</w:t>
      </w:r>
      <w:bookmarkEnd w:id="55"/>
      <w:bookmarkEnd w:id="56"/>
      <w:bookmarkEnd w:id="57"/>
      <w:bookmarkEnd w:id="58"/>
      <w:bookmarkEnd w:id="59"/>
      <w:bookmarkEnd w:id="60"/>
      <w:bookmarkEnd w:id="61"/>
    </w:p>
    <w:p w14:paraId="0AA76D4F">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单位名称：</w:t>
      </w:r>
    </w:p>
    <w:p w14:paraId="044B9A68">
      <w:pPr>
        <w:topLinePunct/>
        <w:spacing w:line="600" w:lineRule="exact"/>
        <w:ind w:firstLine="480"/>
        <w:rPr>
          <w:rFonts w:ascii="仿宋" w:hAnsi="仿宋" w:eastAsia="仿宋"/>
          <w:bCs/>
          <w:sz w:val="28"/>
          <w:szCs w:val="28"/>
        </w:rPr>
      </w:pPr>
      <w:r>
        <w:rPr>
          <w:rFonts w:hint="eastAsia" w:ascii="仿宋" w:hAnsi="仿宋" w:eastAsia="仿宋"/>
          <w:bCs/>
          <w:sz w:val="28"/>
          <w:szCs w:val="28"/>
        </w:rPr>
        <w:t>单位性质：</w:t>
      </w:r>
    </w:p>
    <w:p w14:paraId="1576F577">
      <w:pPr>
        <w:topLinePunct/>
        <w:spacing w:line="600" w:lineRule="exact"/>
        <w:ind w:firstLine="480"/>
        <w:rPr>
          <w:rFonts w:ascii="仿宋" w:hAnsi="仿宋" w:eastAsia="仿宋"/>
          <w:bCs/>
          <w:sz w:val="28"/>
          <w:szCs w:val="28"/>
        </w:rPr>
      </w:pPr>
      <w:r>
        <w:rPr>
          <w:rFonts w:hint="eastAsia" w:ascii="仿宋" w:hAnsi="仿宋" w:eastAsia="仿宋"/>
          <w:bCs/>
          <w:sz w:val="28"/>
          <w:szCs w:val="28"/>
        </w:rPr>
        <w:t>成立时间：年月日</w:t>
      </w:r>
    </w:p>
    <w:p w14:paraId="251B0031">
      <w:pPr>
        <w:topLinePunct/>
        <w:spacing w:line="600" w:lineRule="exact"/>
        <w:ind w:firstLine="480"/>
        <w:rPr>
          <w:rFonts w:ascii="仿宋" w:hAnsi="仿宋" w:eastAsia="仿宋"/>
          <w:bCs/>
          <w:sz w:val="28"/>
          <w:szCs w:val="28"/>
        </w:rPr>
      </w:pPr>
      <w:r>
        <w:rPr>
          <w:rFonts w:hint="eastAsia" w:ascii="仿宋" w:hAnsi="仿宋" w:eastAsia="仿宋"/>
          <w:bCs/>
          <w:sz w:val="28"/>
          <w:szCs w:val="28"/>
        </w:rPr>
        <w:t>经营期限：</w:t>
      </w:r>
    </w:p>
    <w:p w14:paraId="549DFD1B">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姓名：性别：年龄：职务：</w:t>
      </w:r>
    </w:p>
    <w:p w14:paraId="29E40D15">
      <w:pPr>
        <w:topLinePunct/>
        <w:spacing w:line="600" w:lineRule="exact"/>
        <w:ind w:firstLine="480"/>
        <w:rPr>
          <w:rFonts w:ascii="仿宋" w:hAnsi="仿宋" w:eastAsia="仿宋"/>
          <w:bCs/>
          <w:sz w:val="28"/>
          <w:szCs w:val="28"/>
        </w:rPr>
      </w:pPr>
      <w:r>
        <w:rPr>
          <w:rFonts w:hint="eastAsia" w:ascii="仿宋" w:hAnsi="仿宋" w:eastAsia="仿宋"/>
          <w:bCs/>
          <w:sz w:val="28"/>
          <w:szCs w:val="28"/>
        </w:rPr>
        <w:t>系（单位名称）的法定代表人。</w:t>
      </w:r>
    </w:p>
    <w:p w14:paraId="45411972">
      <w:pPr>
        <w:topLinePunct/>
        <w:spacing w:line="600" w:lineRule="exact"/>
        <w:ind w:firstLine="480"/>
        <w:rPr>
          <w:rFonts w:ascii="仿宋" w:hAnsi="仿宋" w:eastAsia="仿宋"/>
          <w:bCs/>
          <w:sz w:val="28"/>
          <w:szCs w:val="28"/>
        </w:rPr>
      </w:pPr>
      <w:r>
        <w:rPr>
          <w:rFonts w:hint="eastAsia" w:ascii="仿宋" w:hAnsi="仿宋" w:eastAsia="仿宋"/>
          <w:bCs/>
          <w:sz w:val="28"/>
          <w:szCs w:val="28"/>
        </w:rPr>
        <w:t>特此证明。</w:t>
      </w:r>
    </w:p>
    <w:p w14:paraId="2EA57B74">
      <w:pPr>
        <w:pStyle w:val="8"/>
        <w:jc w:val="center"/>
        <w:rPr>
          <w:rFonts w:eastAsia="仿宋"/>
          <w:sz w:val="28"/>
          <w:szCs w:val="28"/>
        </w:rPr>
      </w:pPr>
      <w:r>
        <w:rPr>
          <w:rFonts w:hint="eastAsia" w:ascii="仿宋" w:hAnsi="仿宋" w:eastAsia="仿宋"/>
          <w:bCs/>
          <w:sz w:val="28"/>
          <w:szCs w:val="28"/>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346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1460EA94">
            <w:pPr>
              <w:spacing w:line="360" w:lineRule="auto"/>
              <w:jc w:val="center"/>
              <w:rPr>
                <w:rFonts w:ascii="仿宋" w:hAnsi="仿宋" w:eastAsia="仿宋"/>
                <w:sz w:val="28"/>
                <w:szCs w:val="28"/>
              </w:rPr>
            </w:pPr>
          </w:p>
        </w:tc>
        <w:tc>
          <w:tcPr>
            <w:tcW w:w="4386" w:type="dxa"/>
            <w:vAlign w:val="center"/>
          </w:tcPr>
          <w:p w14:paraId="74BB7D96">
            <w:pPr>
              <w:spacing w:line="360" w:lineRule="auto"/>
              <w:jc w:val="center"/>
              <w:rPr>
                <w:rFonts w:ascii="仿宋" w:hAnsi="仿宋" w:eastAsia="仿宋"/>
                <w:sz w:val="28"/>
                <w:szCs w:val="28"/>
              </w:rPr>
            </w:pPr>
          </w:p>
        </w:tc>
      </w:tr>
    </w:tbl>
    <w:p w14:paraId="50D95628">
      <w:pPr>
        <w:topLinePunct/>
        <w:spacing w:line="440" w:lineRule="exact"/>
        <w:ind w:firstLine="480"/>
        <w:rPr>
          <w:rFonts w:ascii="仿宋" w:hAnsi="仿宋" w:eastAsia="仿宋"/>
          <w:bCs/>
          <w:sz w:val="28"/>
          <w:szCs w:val="28"/>
        </w:rPr>
      </w:pPr>
    </w:p>
    <w:p w14:paraId="7457F86A">
      <w:pPr>
        <w:topLinePunct/>
        <w:spacing w:line="440" w:lineRule="exact"/>
        <w:ind w:firstLine="480"/>
        <w:rPr>
          <w:rFonts w:ascii="仿宋" w:hAnsi="仿宋" w:eastAsia="仿宋"/>
          <w:bCs/>
          <w:sz w:val="28"/>
          <w:szCs w:val="28"/>
        </w:rPr>
      </w:pPr>
    </w:p>
    <w:p w14:paraId="1B392C10">
      <w:pPr>
        <w:topLinePunct/>
        <w:spacing w:line="480" w:lineRule="auto"/>
        <w:ind w:firstLine="480"/>
        <w:rPr>
          <w:rFonts w:ascii="仿宋" w:hAnsi="仿宋" w:eastAsia="仿宋"/>
          <w:bCs/>
          <w:sz w:val="28"/>
          <w:szCs w:val="28"/>
        </w:rPr>
      </w:pPr>
      <w:r>
        <w:rPr>
          <w:rFonts w:hint="eastAsia" w:ascii="仿宋" w:hAnsi="仿宋" w:eastAsia="仿宋"/>
          <w:bCs/>
          <w:sz w:val="28"/>
          <w:szCs w:val="28"/>
        </w:rPr>
        <w:t>报价人：（盖单位章）</w:t>
      </w:r>
    </w:p>
    <w:p w14:paraId="7C45DBB1">
      <w:pPr>
        <w:topLinePunct/>
        <w:spacing w:line="480" w:lineRule="auto"/>
        <w:ind w:firstLine="490" w:firstLineChars="175"/>
        <w:rPr>
          <w:rFonts w:ascii="仿宋" w:hAnsi="仿宋" w:eastAsia="仿宋"/>
          <w:bCs/>
          <w:sz w:val="28"/>
          <w:szCs w:val="28"/>
        </w:rPr>
      </w:pPr>
      <w:r>
        <w:rPr>
          <w:rFonts w:hint="eastAsia" w:ascii="仿宋" w:hAnsi="仿宋" w:eastAsia="仿宋"/>
          <w:bCs/>
          <w:sz w:val="28"/>
          <w:szCs w:val="28"/>
        </w:rPr>
        <w:t>法定代表人：（盖章或签字）</w:t>
      </w:r>
    </w:p>
    <w:p w14:paraId="3AEB96B6">
      <w:pPr>
        <w:topLinePunct/>
        <w:spacing w:line="480" w:lineRule="auto"/>
        <w:ind w:firstLine="480"/>
        <w:rPr>
          <w:rFonts w:ascii="仿宋" w:hAnsi="仿宋" w:eastAsia="仿宋"/>
          <w:bCs/>
          <w:sz w:val="28"/>
          <w:szCs w:val="28"/>
        </w:rPr>
      </w:pPr>
      <w:r>
        <w:rPr>
          <w:rFonts w:hint="eastAsia" w:ascii="仿宋" w:hAnsi="仿宋" w:eastAsia="仿宋"/>
          <w:bCs/>
          <w:sz w:val="28"/>
          <w:szCs w:val="28"/>
        </w:rPr>
        <w:t>日期：年月日</w:t>
      </w:r>
    </w:p>
    <w:p w14:paraId="64D3E040">
      <w:pPr>
        <w:jc w:val="center"/>
        <w:outlineLvl w:val="1"/>
        <w:rPr>
          <w:rFonts w:ascii="仿宋" w:hAnsi="仿宋" w:eastAsia="仿宋"/>
          <w:b/>
          <w:color w:val="000000"/>
          <w:sz w:val="28"/>
          <w:szCs w:val="28"/>
        </w:rPr>
      </w:pPr>
      <w:r>
        <w:rPr>
          <w:rFonts w:ascii="仿宋" w:hAnsi="仿宋" w:eastAsia="仿宋"/>
          <w:sz w:val="28"/>
          <w:szCs w:val="28"/>
        </w:rPr>
        <w:br w:type="page"/>
      </w:r>
      <w:bookmarkStart w:id="62" w:name="_Toc18088"/>
      <w:bookmarkStart w:id="63" w:name="_Toc480983369"/>
      <w:bookmarkStart w:id="64" w:name="_Toc7797"/>
      <w:bookmarkStart w:id="65" w:name="_Toc330225908"/>
      <w:bookmarkStart w:id="66" w:name="_Toc20843"/>
      <w:bookmarkStart w:id="67" w:name="_Toc9342900"/>
      <w:bookmarkStart w:id="68" w:name="_Toc9343238"/>
      <w:bookmarkStart w:id="69" w:name="_Toc14855"/>
      <w:bookmarkStart w:id="70" w:name="_Toc8519"/>
      <w:bookmarkStart w:id="71" w:name="_Toc152047264"/>
      <w:bookmarkStart w:id="72" w:name="_Toc24340"/>
      <w:bookmarkStart w:id="73" w:name="_Toc144974468"/>
      <w:bookmarkStart w:id="74" w:name="_Toc360113100"/>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62"/>
      <w:bookmarkEnd w:id="63"/>
      <w:bookmarkEnd w:id="64"/>
      <w:bookmarkEnd w:id="65"/>
      <w:bookmarkEnd w:id="66"/>
      <w:bookmarkEnd w:id="67"/>
      <w:bookmarkEnd w:id="68"/>
      <w:bookmarkEnd w:id="69"/>
      <w:bookmarkEnd w:id="70"/>
      <w:bookmarkEnd w:id="71"/>
      <w:bookmarkEnd w:id="72"/>
      <w:bookmarkEnd w:id="73"/>
      <w:bookmarkEnd w:id="74"/>
    </w:p>
    <w:p w14:paraId="46187E02">
      <w:pPr>
        <w:spacing w:line="400" w:lineRule="exact"/>
        <w:ind w:firstLine="480"/>
        <w:rPr>
          <w:rFonts w:ascii="仿宋" w:hAnsi="仿宋" w:eastAsia="仿宋"/>
          <w:sz w:val="28"/>
          <w:szCs w:val="28"/>
        </w:rPr>
      </w:pPr>
    </w:p>
    <w:p w14:paraId="2E192619">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1C8EDBEE">
      <w:pPr>
        <w:topLinePunct/>
        <w:spacing w:line="440" w:lineRule="exact"/>
        <w:ind w:firstLine="480"/>
        <w:rPr>
          <w:rFonts w:ascii="仿宋" w:hAnsi="仿宋" w:eastAsia="仿宋"/>
          <w:color w:val="FF0000"/>
          <w:sz w:val="28"/>
          <w:szCs w:val="28"/>
          <w:u w:val="single"/>
        </w:rPr>
      </w:pPr>
      <w:r>
        <w:rPr>
          <w:rFonts w:hint="eastAsia" w:ascii="仿宋" w:hAnsi="仿宋" w:eastAsia="仿宋"/>
          <w:color w:val="FF0000"/>
          <w:sz w:val="28"/>
          <w:szCs w:val="28"/>
        </w:rPr>
        <w:t>委托期限：</w:t>
      </w:r>
      <w:r>
        <w:rPr>
          <w:rFonts w:ascii="仿宋" w:hAnsi="仿宋" w:eastAsia="仿宋"/>
          <w:color w:val="FF0000"/>
          <w:sz w:val="28"/>
          <w:szCs w:val="28"/>
          <w:u w:val="single"/>
        </w:rPr>
        <w:t xml:space="preserve"> </w:t>
      </w:r>
      <w:r>
        <w:rPr>
          <w:rFonts w:hint="eastAsia" w:ascii="仿宋" w:hAnsi="仿宋" w:eastAsia="仿宋"/>
          <w:color w:val="FF0000"/>
          <w:sz w:val="28"/>
          <w:szCs w:val="28"/>
          <w:u w:val="single"/>
        </w:rPr>
        <w:t>6</w:t>
      </w:r>
      <w:r>
        <w:rPr>
          <w:rFonts w:ascii="仿宋" w:hAnsi="仿宋" w:eastAsia="仿宋"/>
          <w:color w:val="FF0000"/>
          <w:sz w:val="28"/>
          <w:szCs w:val="28"/>
          <w:u w:val="single"/>
        </w:rPr>
        <w:t>0</w:t>
      </w:r>
      <w:r>
        <w:rPr>
          <w:rFonts w:hint="eastAsia" w:ascii="仿宋" w:hAnsi="仿宋" w:eastAsia="仿宋"/>
          <w:color w:val="FF0000"/>
          <w:sz w:val="28"/>
          <w:szCs w:val="28"/>
          <w:u w:val="single"/>
        </w:rPr>
        <w:t>日历天</w:t>
      </w:r>
      <w:r>
        <w:rPr>
          <w:rFonts w:hint="eastAsia" w:ascii="仿宋" w:hAnsi="仿宋" w:eastAsia="仿宋"/>
          <w:color w:val="FF0000"/>
          <w:sz w:val="28"/>
          <w:szCs w:val="28"/>
        </w:rPr>
        <w:t>。</w:t>
      </w:r>
    </w:p>
    <w:p w14:paraId="09F74832">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600011E0">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1C2365DF">
      <w:pPr>
        <w:topLinePunct/>
        <w:spacing w:line="440" w:lineRule="exact"/>
        <w:ind w:firstLine="480"/>
        <w:rPr>
          <w:rFonts w:ascii="仿宋" w:hAnsi="仿宋" w:eastAsia="仿宋"/>
          <w:sz w:val="24"/>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422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2CD487F0">
            <w:pPr>
              <w:spacing w:line="360" w:lineRule="auto"/>
              <w:jc w:val="center"/>
              <w:rPr>
                <w:rFonts w:ascii="仿宋" w:hAnsi="仿宋" w:eastAsia="仿宋"/>
              </w:rPr>
            </w:pPr>
            <w:bookmarkStart w:id="75" w:name="_Hlk10043326"/>
          </w:p>
        </w:tc>
        <w:tc>
          <w:tcPr>
            <w:tcW w:w="4386" w:type="dxa"/>
            <w:vAlign w:val="center"/>
          </w:tcPr>
          <w:p w14:paraId="70F3460B">
            <w:pPr>
              <w:spacing w:line="360" w:lineRule="auto"/>
              <w:jc w:val="center"/>
              <w:rPr>
                <w:rFonts w:ascii="仿宋" w:hAnsi="仿宋" w:eastAsia="仿宋"/>
              </w:rPr>
            </w:pPr>
          </w:p>
        </w:tc>
      </w:tr>
      <w:tr w14:paraId="3BCB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7791C1B9">
            <w:pPr>
              <w:spacing w:line="360" w:lineRule="auto"/>
              <w:jc w:val="center"/>
              <w:rPr>
                <w:rFonts w:ascii="仿宋" w:hAnsi="仿宋" w:eastAsia="仿宋"/>
              </w:rPr>
            </w:pPr>
          </w:p>
        </w:tc>
        <w:tc>
          <w:tcPr>
            <w:tcW w:w="4386" w:type="dxa"/>
            <w:vAlign w:val="center"/>
          </w:tcPr>
          <w:p w14:paraId="008BAF2D">
            <w:pPr>
              <w:spacing w:line="360" w:lineRule="auto"/>
              <w:jc w:val="center"/>
              <w:rPr>
                <w:rFonts w:ascii="仿宋" w:hAnsi="仿宋" w:eastAsia="仿宋"/>
              </w:rPr>
            </w:pPr>
          </w:p>
        </w:tc>
      </w:tr>
      <w:bookmarkEnd w:id="75"/>
    </w:tbl>
    <w:p w14:paraId="28CE8E36">
      <w:pPr>
        <w:topLinePunct/>
        <w:spacing w:line="360" w:lineRule="auto"/>
        <w:rPr>
          <w:rFonts w:ascii="仿宋" w:hAnsi="仿宋" w:eastAsia="仿宋" w:cs="仿宋_GB2312"/>
          <w:sz w:val="24"/>
        </w:rPr>
      </w:pPr>
      <w:r>
        <w:rPr>
          <w:rFonts w:hint="eastAsia" w:ascii="仿宋" w:hAnsi="仿宋" w:eastAsia="仿宋" w:cs="仿宋_GB2312"/>
          <w:sz w:val="24"/>
        </w:rPr>
        <w:t>（仅委托代理人报价时提供）</w:t>
      </w:r>
    </w:p>
    <w:p w14:paraId="2D1A498B">
      <w:pPr>
        <w:topLinePunct/>
        <w:spacing w:line="360" w:lineRule="auto"/>
        <w:ind w:firstLine="3360" w:firstLineChars="1400"/>
        <w:rPr>
          <w:rFonts w:ascii="仿宋" w:hAnsi="仿宋" w:eastAsia="仿宋" w:cs="仿宋_GB2312"/>
          <w:sz w:val="24"/>
        </w:rPr>
      </w:pPr>
    </w:p>
    <w:p w14:paraId="60943895">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报价供应商：（盖单位章）</w:t>
      </w:r>
    </w:p>
    <w:p w14:paraId="5DFB2C44">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法定代表人：（盖章或签字）</w:t>
      </w:r>
    </w:p>
    <w:p w14:paraId="62423828">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3646C51F">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委托代理人：（签字）</w:t>
      </w:r>
    </w:p>
    <w:p w14:paraId="004A8F9E">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07F5D74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日期：年月日</w:t>
      </w:r>
    </w:p>
    <w:p w14:paraId="49DE7B59">
      <w:pPr>
        <w:rPr>
          <w:rFonts w:ascii="仿宋" w:hAnsi="仿宋" w:eastAsia="仿宋" w:cs="仿宋_GB2312"/>
          <w:b/>
          <w:bCs/>
          <w:sz w:val="28"/>
        </w:rPr>
      </w:pPr>
      <w:bookmarkStart w:id="76" w:name="_Toc29416"/>
      <w:bookmarkStart w:id="77" w:name="_Toc9342901"/>
      <w:bookmarkStart w:id="78" w:name="_Toc330225911"/>
      <w:bookmarkStart w:id="79" w:name="_Toc360113103"/>
      <w:bookmarkStart w:id="80" w:name="_Toc25295"/>
      <w:bookmarkStart w:id="81" w:name="_Toc9343239"/>
      <w:bookmarkStart w:id="82" w:name="_Toc25339"/>
      <w:bookmarkStart w:id="83" w:name="_Toc480983370"/>
      <w:bookmarkStart w:id="84" w:name="_Toc152047266"/>
      <w:bookmarkStart w:id="85" w:name="_Toc144974470"/>
    </w:p>
    <w:p w14:paraId="6272C4E4">
      <w:pPr>
        <w:pStyle w:val="8"/>
      </w:pPr>
    </w:p>
    <w:p w14:paraId="371A3328">
      <w:pPr>
        <w:ind w:firstLine="480"/>
        <w:jc w:val="center"/>
        <w:outlineLvl w:val="1"/>
        <w:rPr>
          <w:rFonts w:ascii="仿宋" w:hAnsi="仿宋" w:eastAsia="仿宋" w:cs="仿宋_GB2312"/>
          <w:b/>
          <w:bCs/>
          <w:sz w:val="28"/>
        </w:rPr>
        <w:sectPr>
          <w:pgSz w:w="11906" w:h="16838"/>
          <w:pgMar w:top="1440" w:right="1080" w:bottom="1440" w:left="1080" w:header="851" w:footer="992" w:gutter="0"/>
          <w:cols w:space="425" w:num="1"/>
          <w:docGrid w:type="lines" w:linePitch="312" w:charSpace="0"/>
        </w:sectPr>
      </w:pPr>
      <w:bookmarkStart w:id="86" w:name="_Toc5332"/>
      <w:bookmarkStart w:id="87" w:name="_Toc8819"/>
      <w:bookmarkStart w:id="88" w:name="_Toc25912"/>
    </w:p>
    <w:p w14:paraId="25FB903C">
      <w:pPr>
        <w:jc w:val="center"/>
        <w:outlineLvl w:val="1"/>
        <w:rPr>
          <w:rFonts w:ascii="仿宋" w:hAnsi="仿宋" w:eastAsia="仿宋" w:cs="仿宋_GB2312"/>
          <w:b/>
          <w:bCs/>
          <w:sz w:val="28"/>
        </w:rPr>
      </w:pPr>
      <w:r>
        <w:rPr>
          <w:rFonts w:hint="eastAsia" w:ascii="仿宋" w:hAnsi="仿宋" w:eastAsia="仿宋" w:cs="仿宋_GB2312"/>
          <w:b/>
          <w:bCs/>
          <w:sz w:val="28"/>
        </w:rPr>
        <w:t>3.响应方案及说明</w:t>
      </w:r>
    </w:p>
    <w:p w14:paraId="6FE0E716">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6BAECA0D">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1046A64">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EFB2C54">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C85C5A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60B9803A">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882FA64">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9780077">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929BEE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9EFB5A3">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7DECD97F">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06DA4D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7814DF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AC831A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97D9658">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C574950">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1D72857">
      <w:pPr>
        <w:adjustRightInd w:val="0"/>
        <w:snapToGrid w:val="0"/>
        <w:spacing w:beforeLines="50" w:after="100" w:afterAutospacing="1"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4.开标一览表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927"/>
      </w:tblGrid>
      <w:tr w14:paraId="41B2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051CA0D9">
            <w:pPr>
              <w:adjustRightInd w:val="0"/>
              <w:snapToGrid w:val="0"/>
              <w:spacing w:line="360" w:lineRule="auto"/>
              <w:jc w:val="both"/>
              <w:rPr>
                <w:rFonts w:ascii="黑体" w:hAnsi="黑体" w:eastAsia="黑体"/>
                <w:szCs w:val="21"/>
              </w:rPr>
            </w:pPr>
            <w:r>
              <w:rPr>
                <w:rFonts w:hint="eastAsia" w:ascii="黑体" w:hAnsi="黑体" w:eastAsia="黑体"/>
                <w:szCs w:val="21"/>
              </w:rPr>
              <w:t>项目名称</w:t>
            </w:r>
          </w:p>
        </w:tc>
        <w:tc>
          <w:tcPr>
            <w:tcW w:w="7927" w:type="dxa"/>
            <w:vAlign w:val="center"/>
          </w:tcPr>
          <w:p w14:paraId="7D54D26B">
            <w:pPr>
              <w:adjustRightInd w:val="0"/>
              <w:snapToGrid w:val="0"/>
              <w:spacing w:line="360" w:lineRule="auto"/>
              <w:ind w:firstLine="404" w:firstLineChars="200"/>
              <w:jc w:val="center"/>
              <w:rPr>
                <w:rFonts w:ascii="宋体" w:hAnsi="宋体"/>
                <w:spacing w:val="-4"/>
                <w:szCs w:val="21"/>
              </w:rPr>
            </w:pPr>
          </w:p>
        </w:tc>
      </w:tr>
      <w:tr w14:paraId="50F4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859F54E">
            <w:pPr>
              <w:adjustRightInd w:val="0"/>
              <w:snapToGrid w:val="0"/>
              <w:spacing w:line="360" w:lineRule="auto"/>
              <w:jc w:val="both"/>
              <w:rPr>
                <w:rFonts w:ascii="黑体" w:hAnsi="黑体" w:eastAsia="黑体"/>
                <w:szCs w:val="21"/>
              </w:rPr>
            </w:pPr>
            <w:r>
              <w:rPr>
                <w:rFonts w:hint="eastAsia" w:ascii="黑体" w:hAnsi="黑体" w:eastAsia="黑体"/>
                <w:szCs w:val="21"/>
              </w:rPr>
              <w:t>项目编号</w:t>
            </w:r>
          </w:p>
        </w:tc>
        <w:tc>
          <w:tcPr>
            <w:tcW w:w="7927" w:type="dxa"/>
            <w:vAlign w:val="center"/>
          </w:tcPr>
          <w:p w14:paraId="6922070D">
            <w:pPr>
              <w:adjustRightInd w:val="0"/>
              <w:snapToGrid w:val="0"/>
              <w:spacing w:line="360" w:lineRule="auto"/>
              <w:ind w:firstLine="420" w:firstLineChars="200"/>
              <w:jc w:val="center"/>
              <w:rPr>
                <w:rFonts w:ascii="宋体" w:hAnsi="宋体"/>
                <w:szCs w:val="21"/>
              </w:rPr>
            </w:pPr>
          </w:p>
        </w:tc>
      </w:tr>
      <w:tr w14:paraId="4731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Merge w:val="restart"/>
            <w:vAlign w:val="center"/>
          </w:tcPr>
          <w:p w14:paraId="04CE4E42">
            <w:pPr>
              <w:adjustRightInd w:val="0"/>
              <w:snapToGrid w:val="0"/>
              <w:spacing w:line="360" w:lineRule="auto"/>
              <w:jc w:val="both"/>
              <w:rPr>
                <w:rFonts w:ascii="黑体" w:hAnsi="黑体" w:eastAsia="黑体"/>
                <w:szCs w:val="21"/>
              </w:rPr>
            </w:pPr>
            <w:r>
              <w:rPr>
                <w:rFonts w:hint="eastAsia" w:ascii="黑体" w:hAnsi="黑体" w:eastAsia="黑体"/>
                <w:szCs w:val="21"/>
              </w:rPr>
              <w:t>投标总价</w:t>
            </w:r>
          </w:p>
        </w:tc>
        <w:tc>
          <w:tcPr>
            <w:tcW w:w="7927" w:type="dxa"/>
            <w:vAlign w:val="center"/>
          </w:tcPr>
          <w:p w14:paraId="563D7BA2">
            <w:pPr>
              <w:adjustRightInd w:val="0"/>
              <w:snapToGrid w:val="0"/>
              <w:spacing w:line="360" w:lineRule="auto"/>
              <w:ind w:firstLine="420" w:firstLineChars="200"/>
              <w:rPr>
                <w:rFonts w:ascii="宋体" w:hAnsi="宋体"/>
                <w:szCs w:val="21"/>
              </w:rPr>
            </w:pPr>
          </w:p>
        </w:tc>
      </w:tr>
      <w:tr w14:paraId="1D6F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59" w:type="dxa"/>
            <w:vMerge w:val="continue"/>
            <w:vAlign w:val="center"/>
          </w:tcPr>
          <w:p w14:paraId="51452BCA">
            <w:pPr>
              <w:adjustRightInd w:val="0"/>
              <w:snapToGrid w:val="0"/>
              <w:spacing w:line="360" w:lineRule="auto"/>
              <w:ind w:firstLine="420" w:firstLineChars="200"/>
              <w:jc w:val="center"/>
              <w:rPr>
                <w:rFonts w:ascii="黑体" w:hAnsi="黑体" w:eastAsia="黑体"/>
                <w:szCs w:val="21"/>
              </w:rPr>
            </w:pPr>
          </w:p>
        </w:tc>
        <w:tc>
          <w:tcPr>
            <w:tcW w:w="7927" w:type="dxa"/>
            <w:vAlign w:val="center"/>
          </w:tcPr>
          <w:p w14:paraId="340C24D1">
            <w:pPr>
              <w:adjustRightInd w:val="0"/>
              <w:snapToGrid w:val="0"/>
              <w:spacing w:line="360" w:lineRule="auto"/>
              <w:ind w:firstLine="420" w:firstLineChars="200"/>
              <w:jc w:val="left"/>
              <w:rPr>
                <w:rFonts w:ascii="宋体" w:hAnsi="宋体"/>
                <w:szCs w:val="21"/>
              </w:rPr>
            </w:pPr>
          </w:p>
        </w:tc>
      </w:tr>
      <w:tr w14:paraId="373C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7CBB0B4D">
            <w:pPr>
              <w:adjustRightInd w:val="0"/>
              <w:snapToGrid w:val="0"/>
              <w:spacing w:line="360" w:lineRule="auto"/>
              <w:jc w:val="both"/>
              <w:rPr>
                <w:rFonts w:ascii="黑体" w:hAnsi="黑体" w:eastAsia="黑体"/>
                <w:szCs w:val="21"/>
              </w:rPr>
            </w:pPr>
            <w:r>
              <w:rPr>
                <w:rFonts w:hint="eastAsia" w:ascii="黑体" w:hAnsi="黑体" w:eastAsia="黑体"/>
                <w:szCs w:val="21"/>
              </w:rPr>
              <w:t>交 货 期</w:t>
            </w:r>
          </w:p>
        </w:tc>
        <w:tc>
          <w:tcPr>
            <w:tcW w:w="7927" w:type="dxa"/>
            <w:vAlign w:val="center"/>
          </w:tcPr>
          <w:p w14:paraId="0A56080A">
            <w:pPr>
              <w:adjustRightInd w:val="0"/>
              <w:snapToGrid w:val="0"/>
              <w:spacing w:line="360" w:lineRule="auto"/>
              <w:ind w:firstLine="420" w:firstLineChars="200"/>
              <w:jc w:val="center"/>
              <w:rPr>
                <w:rFonts w:ascii="宋体" w:hAnsi="宋体"/>
                <w:szCs w:val="21"/>
                <w:u w:val="single"/>
              </w:rPr>
            </w:pPr>
          </w:p>
        </w:tc>
      </w:tr>
      <w:tr w14:paraId="396B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7B8BC146">
            <w:pPr>
              <w:adjustRightInd w:val="0"/>
              <w:snapToGrid w:val="0"/>
              <w:spacing w:line="360" w:lineRule="auto"/>
              <w:jc w:val="both"/>
              <w:rPr>
                <w:rFonts w:ascii="黑体" w:hAnsi="黑体" w:eastAsia="黑体"/>
                <w:szCs w:val="21"/>
              </w:rPr>
            </w:pPr>
            <w:r>
              <w:rPr>
                <w:rFonts w:hint="eastAsia" w:ascii="黑体" w:hAnsi="黑体" w:eastAsia="黑体"/>
                <w:szCs w:val="21"/>
              </w:rPr>
              <w:t>质保期</w:t>
            </w:r>
          </w:p>
        </w:tc>
        <w:tc>
          <w:tcPr>
            <w:tcW w:w="7927" w:type="dxa"/>
            <w:vAlign w:val="center"/>
          </w:tcPr>
          <w:p w14:paraId="0563C9AA">
            <w:pPr>
              <w:adjustRightInd w:val="0"/>
              <w:snapToGrid w:val="0"/>
              <w:spacing w:line="360" w:lineRule="auto"/>
              <w:ind w:firstLine="420" w:firstLineChars="200"/>
              <w:jc w:val="center"/>
              <w:rPr>
                <w:rFonts w:ascii="宋体" w:hAnsi="宋体"/>
                <w:szCs w:val="21"/>
              </w:rPr>
            </w:pPr>
          </w:p>
        </w:tc>
      </w:tr>
      <w:tr w14:paraId="3679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5D4E5495">
            <w:pPr>
              <w:adjustRightInd w:val="0"/>
              <w:snapToGrid w:val="0"/>
              <w:spacing w:line="360" w:lineRule="auto"/>
              <w:jc w:val="both"/>
              <w:rPr>
                <w:rFonts w:ascii="黑体" w:hAnsi="黑体" w:eastAsia="黑体"/>
                <w:szCs w:val="21"/>
              </w:rPr>
            </w:pPr>
            <w:r>
              <w:rPr>
                <w:rFonts w:hint="eastAsia" w:ascii="黑体" w:hAnsi="黑体" w:eastAsia="黑体"/>
                <w:szCs w:val="21"/>
              </w:rPr>
              <w:t>付款方式</w:t>
            </w:r>
          </w:p>
        </w:tc>
        <w:tc>
          <w:tcPr>
            <w:tcW w:w="7927" w:type="dxa"/>
            <w:vAlign w:val="center"/>
          </w:tcPr>
          <w:p w14:paraId="4EB2BB64">
            <w:pPr>
              <w:adjustRightInd w:val="0"/>
              <w:snapToGrid w:val="0"/>
              <w:spacing w:line="360" w:lineRule="auto"/>
              <w:ind w:firstLine="420" w:firstLineChars="200"/>
              <w:jc w:val="center"/>
              <w:rPr>
                <w:rFonts w:ascii="宋体" w:hAnsi="宋体"/>
                <w:szCs w:val="21"/>
              </w:rPr>
            </w:pPr>
          </w:p>
        </w:tc>
      </w:tr>
      <w:tr w14:paraId="566A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6AC9C01">
            <w:pPr>
              <w:adjustRightInd w:val="0"/>
              <w:snapToGrid w:val="0"/>
              <w:spacing w:line="360" w:lineRule="auto"/>
              <w:jc w:val="both"/>
              <w:rPr>
                <w:rFonts w:ascii="黑体" w:hAnsi="黑体" w:eastAsia="黑体"/>
                <w:szCs w:val="21"/>
              </w:rPr>
            </w:pPr>
            <w:r>
              <w:rPr>
                <w:rFonts w:hint="eastAsia" w:ascii="黑体" w:hAnsi="黑体" w:eastAsia="黑体"/>
                <w:szCs w:val="21"/>
              </w:rPr>
              <w:t>商务条件</w:t>
            </w:r>
          </w:p>
        </w:tc>
        <w:tc>
          <w:tcPr>
            <w:tcW w:w="7927" w:type="dxa"/>
            <w:vAlign w:val="center"/>
          </w:tcPr>
          <w:p w14:paraId="5BCA2858">
            <w:pPr>
              <w:adjustRightInd w:val="0"/>
              <w:snapToGrid w:val="0"/>
              <w:spacing w:line="360" w:lineRule="auto"/>
              <w:ind w:firstLine="420" w:firstLineChars="200"/>
              <w:jc w:val="center"/>
              <w:rPr>
                <w:rFonts w:ascii="宋体" w:hAnsi="宋体"/>
                <w:szCs w:val="21"/>
              </w:rPr>
            </w:pPr>
          </w:p>
        </w:tc>
      </w:tr>
      <w:tr w14:paraId="5DE2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35A9CF16">
            <w:pPr>
              <w:adjustRightInd w:val="0"/>
              <w:snapToGrid w:val="0"/>
              <w:spacing w:line="360" w:lineRule="auto"/>
              <w:jc w:val="both"/>
              <w:rPr>
                <w:rFonts w:ascii="黑体" w:hAnsi="黑体" w:eastAsia="黑体"/>
                <w:szCs w:val="21"/>
              </w:rPr>
            </w:pPr>
            <w:r>
              <w:rPr>
                <w:rFonts w:hint="eastAsia" w:ascii="黑体" w:hAnsi="黑体" w:eastAsia="黑体"/>
                <w:szCs w:val="21"/>
              </w:rPr>
              <w:t>技术条件</w:t>
            </w:r>
          </w:p>
        </w:tc>
        <w:tc>
          <w:tcPr>
            <w:tcW w:w="7927" w:type="dxa"/>
            <w:vAlign w:val="center"/>
          </w:tcPr>
          <w:p w14:paraId="4E32E1EF">
            <w:pPr>
              <w:adjustRightInd w:val="0"/>
              <w:snapToGrid w:val="0"/>
              <w:spacing w:line="360" w:lineRule="auto"/>
              <w:ind w:firstLine="420" w:firstLineChars="200"/>
              <w:jc w:val="center"/>
              <w:rPr>
                <w:rFonts w:ascii="宋体" w:hAnsi="宋体"/>
                <w:szCs w:val="21"/>
              </w:rPr>
            </w:pPr>
          </w:p>
        </w:tc>
      </w:tr>
    </w:tbl>
    <w:p w14:paraId="26A8F134">
      <w:pPr>
        <w:adjustRightInd w:val="0"/>
        <w:snapToGrid w:val="0"/>
        <w:spacing w:line="360" w:lineRule="auto"/>
        <w:ind w:firstLine="420" w:firstLineChars="200"/>
        <w:rPr>
          <w:rFonts w:ascii="宋体" w:hAnsi="宋体"/>
          <w:szCs w:val="21"/>
        </w:rPr>
      </w:pPr>
    </w:p>
    <w:p w14:paraId="4FC79B57">
      <w:pPr>
        <w:adjustRightInd w:val="0"/>
        <w:snapToGrid w:val="0"/>
        <w:spacing w:line="360" w:lineRule="auto"/>
        <w:ind w:firstLine="420" w:firstLineChars="200"/>
        <w:rPr>
          <w:rFonts w:ascii="宋体" w:hAnsi="宋体"/>
          <w:szCs w:val="21"/>
        </w:rPr>
      </w:pPr>
    </w:p>
    <w:p w14:paraId="2C436D08">
      <w:pPr>
        <w:adjustRightInd w:val="0"/>
        <w:snapToGrid w:val="0"/>
        <w:spacing w:line="360" w:lineRule="auto"/>
        <w:ind w:firstLine="420" w:firstLineChars="200"/>
        <w:rPr>
          <w:rFonts w:ascii="宋体" w:hAnsi="宋体"/>
          <w:szCs w:val="21"/>
        </w:rPr>
      </w:pPr>
      <w:r>
        <w:rPr>
          <w:rFonts w:hint="eastAsia" w:ascii="宋体" w:hAnsi="宋体"/>
          <w:szCs w:val="21"/>
        </w:rPr>
        <w:t>供应商：（盖供应商单位公章）</w:t>
      </w:r>
    </w:p>
    <w:p w14:paraId="04BDFE47">
      <w:pPr>
        <w:adjustRightInd w:val="0"/>
        <w:snapToGrid w:val="0"/>
        <w:spacing w:line="360" w:lineRule="auto"/>
        <w:ind w:firstLine="420" w:firstLineChars="200"/>
        <w:rPr>
          <w:rFonts w:ascii="宋体" w:hAnsi="宋体"/>
          <w:szCs w:val="21"/>
        </w:rPr>
      </w:pPr>
    </w:p>
    <w:p w14:paraId="33CB49E5">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法定代表人或其委托代理人：（签字或印章）</w:t>
      </w:r>
    </w:p>
    <w:p w14:paraId="04F1D005">
      <w:pPr>
        <w:adjustRightInd w:val="0"/>
        <w:snapToGrid w:val="0"/>
        <w:spacing w:line="360" w:lineRule="auto"/>
        <w:ind w:firstLine="420" w:firstLineChars="200"/>
        <w:rPr>
          <w:rFonts w:ascii="宋体" w:hAnsi="宋体"/>
          <w:szCs w:val="21"/>
        </w:rPr>
      </w:pPr>
    </w:p>
    <w:p w14:paraId="7BC2CF91">
      <w:pPr>
        <w:adjustRightInd w:val="0"/>
        <w:snapToGrid w:val="0"/>
        <w:spacing w:line="360" w:lineRule="auto"/>
        <w:ind w:firstLine="420" w:firstLineChars="200"/>
        <w:rPr>
          <w:rFonts w:ascii="宋体" w:hAnsi="宋体"/>
          <w:szCs w:val="21"/>
        </w:rPr>
      </w:pPr>
      <w:r>
        <w:rPr>
          <w:rFonts w:hint="eastAsia" w:ascii="宋体" w:hAnsi="宋体"/>
          <w:szCs w:val="21"/>
        </w:rPr>
        <w:t>日  期：年月日</w:t>
      </w:r>
    </w:p>
    <w:p w14:paraId="7EABB8FA">
      <w:pPr>
        <w:ind w:firstLine="480"/>
        <w:jc w:val="right"/>
        <w:outlineLvl w:val="1"/>
        <w:rPr>
          <w:rFonts w:ascii="仿宋" w:hAnsi="仿宋" w:eastAsia="仿宋" w:cs="仿宋_GB2312"/>
          <w:sz w:val="28"/>
        </w:rPr>
      </w:pPr>
    </w:p>
    <w:p w14:paraId="3140F745">
      <w:pPr>
        <w:pStyle w:val="8"/>
        <w:rPr>
          <w:rFonts w:ascii="仿宋" w:hAnsi="仿宋" w:eastAsia="仿宋" w:cs="仿宋_GB2312"/>
          <w:sz w:val="28"/>
        </w:rPr>
      </w:pPr>
    </w:p>
    <w:p w14:paraId="737FDD03">
      <w:pPr>
        <w:pStyle w:val="8"/>
        <w:rPr>
          <w:rFonts w:ascii="仿宋" w:hAnsi="仿宋" w:eastAsia="仿宋" w:cs="仿宋_GB2312"/>
          <w:sz w:val="28"/>
        </w:rPr>
      </w:pPr>
    </w:p>
    <w:p w14:paraId="3EA7BF0E">
      <w:pPr>
        <w:pStyle w:val="8"/>
        <w:rPr>
          <w:rFonts w:ascii="仿宋" w:hAnsi="仿宋" w:eastAsia="仿宋" w:cs="仿宋_GB2312"/>
          <w:sz w:val="28"/>
        </w:rPr>
      </w:pPr>
    </w:p>
    <w:p w14:paraId="00F8EFD2">
      <w:pPr>
        <w:pStyle w:val="8"/>
        <w:rPr>
          <w:rFonts w:ascii="仿宋" w:hAnsi="仿宋" w:eastAsia="仿宋" w:cs="仿宋_GB2312"/>
          <w:sz w:val="28"/>
        </w:rPr>
      </w:pPr>
    </w:p>
    <w:p w14:paraId="0243543B">
      <w:pPr>
        <w:pStyle w:val="8"/>
        <w:rPr>
          <w:rFonts w:ascii="仿宋" w:hAnsi="仿宋" w:eastAsia="仿宋" w:cs="仿宋_GB2312"/>
          <w:sz w:val="28"/>
        </w:rPr>
      </w:pPr>
    </w:p>
    <w:p w14:paraId="07DF3C15">
      <w:pPr>
        <w:pStyle w:val="8"/>
        <w:rPr>
          <w:rFonts w:ascii="仿宋" w:hAnsi="仿宋" w:eastAsia="仿宋" w:cs="仿宋_GB2312"/>
          <w:sz w:val="28"/>
        </w:rPr>
      </w:pPr>
    </w:p>
    <w:p w14:paraId="31D6A7DD">
      <w:pPr>
        <w:pStyle w:val="8"/>
        <w:rPr>
          <w:rFonts w:ascii="仿宋" w:hAnsi="仿宋" w:eastAsia="仿宋" w:cs="仿宋_GB2312"/>
          <w:sz w:val="28"/>
        </w:rPr>
      </w:pPr>
    </w:p>
    <w:p w14:paraId="1600964E">
      <w:pPr>
        <w:pStyle w:val="8"/>
        <w:rPr>
          <w:rFonts w:ascii="仿宋" w:hAnsi="仿宋" w:eastAsia="仿宋" w:cs="仿宋_GB2312"/>
          <w:sz w:val="28"/>
        </w:rPr>
      </w:pPr>
    </w:p>
    <w:p w14:paraId="335F1C2C">
      <w:pPr>
        <w:pStyle w:val="8"/>
        <w:rPr>
          <w:rFonts w:ascii="仿宋" w:hAnsi="仿宋" w:eastAsia="仿宋" w:cs="仿宋_GB2312"/>
          <w:sz w:val="28"/>
        </w:rPr>
      </w:pPr>
    </w:p>
    <w:p w14:paraId="7430A792">
      <w:pPr>
        <w:pStyle w:val="8"/>
        <w:rPr>
          <w:rFonts w:ascii="仿宋" w:hAnsi="仿宋" w:eastAsia="仿宋" w:cs="仿宋_GB2312"/>
          <w:sz w:val="28"/>
        </w:rPr>
      </w:pPr>
    </w:p>
    <w:p w14:paraId="3FA9A4A8">
      <w:pPr>
        <w:pStyle w:val="8"/>
        <w:rPr>
          <w:rFonts w:ascii="仿宋" w:hAnsi="仿宋" w:eastAsia="仿宋" w:cs="仿宋_GB2312"/>
          <w:sz w:val="28"/>
        </w:rPr>
      </w:pPr>
    </w:p>
    <w:p w14:paraId="63B85502">
      <w:pPr>
        <w:pStyle w:val="8"/>
        <w:rPr>
          <w:rFonts w:ascii="仿宋" w:hAnsi="仿宋" w:eastAsia="仿宋" w:cs="仿宋_GB2312"/>
          <w:sz w:val="28"/>
        </w:rPr>
      </w:pPr>
    </w:p>
    <w:p w14:paraId="2D22AA73">
      <w:pPr>
        <w:pStyle w:val="8"/>
        <w:jc w:val="center"/>
        <w:rPr>
          <w:rFonts w:ascii="仿宋" w:hAnsi="仿宋" w:eastAsia="仿宋" w:cs="仿宋_GB2312"/>
          <w:b/>
          <w:bCs/>
          <w:sz w:val="28"/>
        </w:rPr>
      </w:pPr>
      <w:r>
        <w:rPr>
          <w:rFonts w:hint="eastAsia" w:ascii="仿宋" w:hAnsi="仿宋" w:eastAsia="仿宋" w:cs="仿宋_GB2312"/>
          <w:b/>
          <w:bCs/>
          <w:sz w:val="28"/>
        </w:rPr>
        <w:t>5.报价清单</w:t>
      </w:r>
    </w:p>
    <w:p w14:paraId="2E79E25C">
      <w:pPr>
        <w:pStyle w:val="8"/>
        <w:rPr>
          <w:rFonts w:ascii="仿宋" w:hAnsi="仿宋" w:eastAsia="仿宋" w:cs="仿宋_GB2312"/>
          <w:sz w:val="28"/>
        </w:rPr>
      </w:pPr>
    </w:p>
    <w:p w14:paraId="2EA636C2">
      <w:pPr>
        <w:pStyle w:val="8"/>
        <w:rPr>
          <w:rFonts w:ascii="仿宋" w:hAnsi="仿宋" w:eastAsia="仿宋" w:cs="仿宋_GB2312"/>
          <w:sz w:val="28"/>
        </w:rPr>
      </w:pPr>
    </w:p>
    <w:p w14:paraId="00614E3D">
      <w:pPr>
        <w:pStyle w:val="8"/>
        <w:rPr>
          <w:rFonts w:ascii="仿宋" w:hAnsi="仿宋" w:eastAsia="仿宋" w:cs="仿宋_GB2312"/>
          <w:sz w:val="28"/>
        </w:rPr>
      </w:pPr>
    </w:p>
    <w:p w14:paraId="00FCC1FF">
      <w:pPr>
        <w:pStyle w:val="8"/>
        <w:rPr>
          <w:rFonts w:ascii="仿宋" w:hAnsi="仿宋" w:eastAsia="仿宋" w:cs="仿宋_GB2312"/>
          <w:sz w:val="28"/>
        </w:rPr>
      </w:pPr>
    </w:p>
    <w:p w14:paraId="4988DB24">
      <w:pPr>
        <w:pStyle w:val="8"/>
        <w:rPr>
          <w:rFonts w:ascii="仿宋" w:hAnsi="仿宋" w:eastAsia="仿宋" w:cs="仿宋_GB2312"/>
          <w:sz w:val="28"/>
        </w:rPr>
      </w:pPr>
    </w:p>
    <w:p w14:paraId="57C46D69">
      <w:pPr>
        <w:pStyle w:val="8"/>
        <w:jc w:val="both"/>
        <w:rPr>
          <w:rFonts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5F1C2127">
      <w:pPr>
        <w:ind w:firstLine="480"/>
        <w:jc w:val="center"/>
        <w:outlineLvl w:val="1"/>
        <w:rPr>
          <w:rFonts w:ascii="仿宋" w:hAnsi="仿宋" w:eastAsia="仿宋"/>
          <w:b/>
          <w:color w:val="000000"/>
          <w:sz w:val="24"/>
        </w:rPr>
      </w:pPr>
      <w:r>
        <w:rPr>
          <w:rFonts w:hint="eastAsia" w:ascii="仿宋" w:hAnsi="仿宋" w:eastAsia="仿宋" w:cs="仿宋_GB2312"/>
          <w:b/>
          <w:bCs/>
          <w:sz w:val="28"/>
        </w:rPr>
        <w:t>6.合作商基本情况表</w:t>
      </w:r>
      <w:bookmarkEnd w:id="76"/>
      <w:bookmarkEnd w:id="77"/>
      <w:bookmarkEnd w:id="78"/>
      <w:bookmarkEnd w:id="79"/>
      <w:bookmarkEnd w:id="80"/>
      <w:bookmarkEnd w:id="81"/>
      <w:bookmarkEnd w:id="82"/>
      <w:bookmarkEnd w:id="83"/>
      <w:bookmarkEnd w:id="84"/>
      <w:bookmarkEnd w:id="85"/>
      <w:bookmarkEnd w:id="86"/>
      <w:bookmarkEnd w:id="87"/>
      <w:bookmarkEnd w:id="88"/>
    </w:p>
    <w:tbl>
      <w:tblPr>
        <w:tblStyle w:val="12"/>
        <w:tblW w:w="9735" w:type="dxa"/>
        <w:tblInd w:w="93" w:type="dxa"/>
        <w:tblLayout w:type="autofit"/>
        <w:tblCellMar>
          <w:top w:w="0" w:type="dxa"/>
          <w:left w:w="108" w:type="dxa"/>
          <w:bottom w:w="0" w:type="dxa"/>
          <w:right w:w="108" w:type="dxa"/>
        </w:tblCellMar>
      </w:tblPr>
      <w:tblGrid>
        <w:gridCol w:w="1680"/>
        <w:gridCol w:w="3075"/>
        <w:gridCol w:w="2085"/>
        <w:gridCol w:w="2895"/>
      </w:tblGrid>
      <w:tr w14:paraId="4E61DCCE">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3D46E4F4">
            <w:pPr>
              <w:widowControl/>
              <w:textAlignment w:val="center"/>
              <w:rPr>
                <w:rFonts w:ascii="仿宋" w:hAnsi="仿宋" w:eastAsia="仿宋" w:cs="仿宋"/>
                <w:b/>
                <w:bCs/>
                <w:color w:val="000000"/>
                <w:sz w:val="30"/>
                <w:szCs w:val="30"/>
              </w:rPr>
            </w:pPr>
          </w:p>
        </w:tc>
      </w:tr>
      <w:tr w14:paraId="14C5C3E3">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EA9">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867F3">
            <w:pPr>
              <w:widowControl/>
              <w:jc w:val="center"/>
              <w:textAlignment w:val="center"/>
              <w:rPr>
                <w:rFonts w:ascii="仿宋" w:hAnsi="仿宋" w:eastAsia="仿宋" w:cs="仿宋"/>
                <w:color w:val="000000"/>
                <w:sz w:val="24"/>
              </w:rPr>
            </w:pPr>
          </w:p>
        </w:tc>
      </w:tr>
      <w:tr w14:paraId="430448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2612">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EC95">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908">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D5C">
            <w:pPr>
              <w:widowControl/>
              <w:jc w:val="center"/>
              <w:textAlignment w:val="center"/>
              <w:rPr>
                <w:rFonts w:ascii="仿宋" w:hAnsi="仿宋" w:eastAsia="仿宋" w:cs="仿宋"/>
                <w:color w:val="000000"/>
                <w:sz w:val="24"/>
              </w:rPr>
            </w:pPr>
          </w:p>
        </w:tc>
      </w:tr>
      <w:tr w14:paraId="20E90BF3">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FB9">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31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39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608">
            <w:pPr>
              <w:widowControl/>
              <w:jc w:val="center"/>
              <w:textAlignment w:val="center"/>
              <w:rPr>
                <w:rFonts w:ascii="仿宋" w:hAnsi="仿宋" w:eastAsia="仿宋" w:cs="仿宋"/>
                <w:color w:val="000000"/>
                <w:sz w:val="24"/>
              </w:rPr>
            </w:pPr>
          </w:p>
        </w:tc>
      </w:tr>
      <w:tr w14:paraId="56030732">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34BA">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E2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4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475">
            <w:pPr>
              <w:widowControl/>
              <w:jc w:val="center"/>
              <w:textAlignment w:val="center"/>
              <w:rPr>
                <w:rFonts w:ascii="仿宋" w:hAnsi="仿宋" w:eastAsia="仿宋" w:cs="仿宋"/>
                <w:color w:val="000000"/>
                <w:sz w:val="24"/>
              </w:rPr>
            </w:pPr>
          </w:p>
        </w:tc>
      </w:tr>
      <w:tr w14:paraId="262C49E5">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B244">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72152F2F">
            <w:pPr>
              <w:widowControl/>
              <w:jc w:val="left"/>
              <w:textAlignment w:val="center"/>
              <w:rPr>
                <w:rFonts w:ascii="仿宋" w:hAnsi="仿宋" w:eastAsia="仿宋" w:cs="仿宋"/>
                <w:color w:val="000000"/>
                <w:sz w:val="24"/>
              </w:rPr>
            </w:pPr>
          </w:p>
        </w:tc>
      </w:tr>
      <w:tr w14:paraId="3A4C376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1A93">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1EA89">
            <w:pPr>
              <w:widowControl/>
              <w:jc w:val="center"/>
              <w:textAlignment w:val="center"/>
              <w:rPr>
                <w:rFonts w:ascii="仿宋" w:hAnsi="仿宋" w:eastAsia="仿宋" w:cs="仿宋"/>
                <w:color w:val="000000"/>
                <w:sz w:val="24"/>
              </w:rPr>
            </w:pPr>
          </w:p>
        </w:tc>
      </w:tr>
      <w:tr w14:paraId="362F2AEE">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4DD6">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774AEE4C">
            <w:pPr>
              <w:widowControl/>
              <w:jc w:val="left"/>
              <w:textAlignment w:val="center"/>
              <w:rPr>
                <w:rFonts w:ascii="仿宋" w:hAnsi="仿宋" w:eastAsia="仿宋" w:cs="仿宋"/>
                <w:color w:val="000000"/>
                <w:sz w:val="20"/>
                <w:szCs w:val="20"/>
              </w:rPr>
            </w:pPr>
          </w:p>
        </w:tc>
      </w:tr>
      <w:tr w14:paraId="03778C70">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D0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4475A">
            <w:pPr>
              <w:widowControl/>
              <w:jc w:val="left"/>
              <w:textAlignment w:val="center"/>
              <w:rPr>
                <w:rFonts w:ascii="仿宋" w:hAnsi="仿宋" w:eastAsia="仿宋" w:cs="仿宋"/>
                <w:color w:val="000000"/>
                <w:sz w:val="24"/>
              </w:rPr>
            </w:pPr>
          </w:p>
        </w:tc>
      </w:tr>
      <w:tr w14:paraId="1D9452AD">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F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172D1">
            <w:pPr>
              <w:widowControl/>
              <w:textAlignment w:val="center"/>
              <w:rPr>
                <w:rFonts w:ascii="仿宋" w:hAnsi="仿宋" w:eastAsia="仿宋" w:cs="仿宋"/>
                <w:color w:val="000000"/>
                <w:sz w:val="24"/>
              </w:rPr>
            </w:pPr>
          </w:p>
        </w:tc>
      </w:tr>
      <w:tr w14:paraId="4D945ED0">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C7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02734">
            <w:pPr>
              <w:widowControl/>
              <w:textAlignment w:val="center"/>
              <w:rPr>
                <w:rFonts w:ascii="仿宋" w:hAnsi="仿宋" w:eastAsia="仿宋" w:cs="仿宋"/>
                <w:color w:val="000000"/>
                <w:sz w:val="24"/>
              </w:rPr>
            </w:pPr>
          </w:p>
        </w:tc>
      </w:tr>
      <w:tr w14:paraId="64CFD959">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A5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3CDC2">
            <w:pPr>
              <w:widowControl/>
              <w:textAlignment w:val="center"/>
              <w:rPr>
                <w:rFonts w:ascii="仿宋" w:hAnsi="仿宋" w:eastAsia="仿宋" w:cs="仿宋"/>
                <w:color w:val="000000"/>
                <w:sz w:val="24"/>
              </w:rPr>
            </w:pPr>
          </w:p>
        </w:tc>
      </w:tr>
    </w:tbl>
    <w:p w14:paraId="6B34B26E">
      <w:pPr>
        <w:rPr>
          <w:rFonts w:ascii="仿宋" w:hAnsi="仿宋" w:eastAsia="仿宋" w:cs="仿宋"/>
          <w:sz w:val="28"/>
          <w:szCs w:val="28"/>
        </w:rPr>
      </w:pPr>
    </w:p>
    <w:p w14:paraId="578786B4">
      <w:pPr>
        <w:rPr>
          <w:rFonts w:ascii="仿宋" w:hAnsi="仿宋" w:eastAsia="仿宋" w:cs="仿宋"/>
          <w:sz w:val="28"/>
          <w:szCs w:val="28"/>
        </w:rPr>
      </w:pPr>
    </w:p>
    <w:p w14:paraId="40260D3C">
      <w:pPr>
        <w:rPr>
          <w:rFonts w:ascii="仿宋" w:hAnsi="仿宋" w:eastAsia="仿宋" w:cs="仿宋"/>
          <w:sz w:val="28"/>
          <w:szCs w:val="28"/>
        </w:rPr>
      </w:pPr>
    </w:p>
    <w:p w14:paraId="4A460E34">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7.其他应提供的证明资料：</w:t>
      </w:r>
    </w:p>
    <w:p w14:paraId="17C48879">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088B4CDF">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1BBEC196">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100EE206">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2D2537B0">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5E38D3A5">
      <w:pPr>
        <w:numPr>
          <w:ilvl w:val="0"/>
          <w:numId w:val="8"/>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sz w:val="28"/>
          <w:szCs w:val="28"/>
          <w:lang w:val="en-US" w:eastAsia="zh-CN"/>
        </w:rPr>
        <w:t>安全生产许可</w:t>
      </w:r>
      <w:r>
        <w:rPr>
          <w:rFonts w:hint="eastAsia" w:ascii="仿宋" w:hAnsi="仿宋" w:eastAsia="仿宋" w:cs="仿宋"/>
          <w:sz w:val="28"/>
          <w:szCs w:val="28"/>
        </w:rPr>
        <w:t>资质</w:t>
      </w:r>
      <w:r>
        <w:rPr>
          <w:rFonts w:hint="eastAsia" w:ascii="仿宋" w:hAnsi="仿宋" w:eastAsia="仿宋" w:cs="仿宋"/>
          <w:sz w:val="28"/>
          <w:szCs w:val="28"/>
          <w:lang w:eastAsia="zh-CN"/>
        </w:rPr>
        <w:t>；</w:t>
      </w:r>
    </w:p>
    <w:p w14:paraId="118B2C3A">
      <w:pPr>
        <w:numPr>
          <w:ilvl w:val="0"/>
          <w:numId w:val="8"/>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rPr>
        <w:t>参与项目的业绩明细</w:t>
      </w:r>
    </w:p>
    <w:p w14:paraId="49C8B3E5">
      <w:pPr>
        <w:numPr>
          <w:ilvl w:val="0"/>
          <w:numId w:val="0"/>
        </w:numPr>
        <w:adjustRightInd w:val="0"/>
        <w:snapToGrid w:val="0"/>
        <w:spacing w:line="360" w:lineRule="auto"/>
        <w:ind w:left="630" w:leftChars="0"/>
        <w:rPr>
          <w:rFonts w:ascii="仿宋" w:hAnsi="仿宋" w:eastAsia="仿宋" w:cs="仿宋"/>
          <w:sz w:val="28"/>
          <w:szCs w:val="28"/>
        </w:rPr>
      </w:pPr>
    </w:p>
    <w:p w14:paraId="73D17BC0">
      <w:pPr>
        <w:widowControl/>
        <w:adjustRightInd w:val="0"/>
        <w:snapToGrid w:val="0"/>
        <w:spacing w:line="360" w:lineRule="auto"/>
        <w:ind w:firstLine="560" w:firstLineChars="200"/>
        <w:rPr>
          <w:rFonts w:ascii="黑体" w:hAnsi="黑体" w:eastAsia="黑体"/>
          <w:sz w:val="28"/>
          <w:szCs w:val="28"/>
        </w:rPr>
      </w:pPr>
    </w:p>
    <w:p w14:paraId="11610EFC">
      <w:pPr>
        <w:widowControl/>
        <w:adjustRightInd w:val="0"/>
        <w:snapToGrid w:val="0"/>
        <w:spacing w:line="360" w:lineRule="auto"/>
        <w:ind w:firstLine="560" w:firstLineChars="200"/>
        <w:rPr>
          <w:rFonts w:ascii="黑体" w:hAnsi="黑体" w:eastAsia="黑体"/>
          <w:sz w:val="28"/>
          <w:szCs w:val="28"/>
        </w:rPr>
      </w:pPr>
    </w:p>
    <w:p w14:paraId="056F4AB4">
      <w:pPr>
        <w:widowControl/>
        <w:adjustRightInd w:val="0"/>
        <w:snapToGrid w:val="0"/>
        <w:spacing w:line="360" w:lineRule="auto"/>
        <w:ind w:firstLine="560" w:firstLineChars="200"/>
        <w:rPr>
          <w:rFonts w:ascii="黑体" w:hAnsi="黑体" w:eastAsia="黑体"/>
          <w:sz w:val="28"/>
          <w:szCs w:val="28"/>
        </w:rPr>
      </w:pPr>
    </w:p>
    <w:p w14:paraId="53D1E642">
      <w:pPr>
        <w:widowControl/>
        <w:adjustRightInd w:val="0"/>
        <w:snapToGrid w:val="0"/>
        <w:spacing w:line="360" w:lineRule="auto"/>
        <w:ind w:firstLine="560" w:firstLineChars="200"/>
        <w:rPr>
          <w:rFonts w:ascii="黑体" w:hAnsi="黑体" w:eastAsia="黑体"/>
          <w:sz w:val="28"/>
          <w:szCs w:val="28"/>
        </w:rPr>
      </w:pPr>
    </w:p>
    <w:p w14:paraId="68EA70F5">
      <w:pPr>
        <w:widowControl/>
        <w:adjustRightInd w:val="0"/>
        <w:snapToGrid w:val="0"/>
        <w:spacing w:line="360" w:lineRule="auto"/>
        <w:ind w:firstLine="560" w:firstLineChars="200"/>
        <w:rPr>
          <w:rFonts w:ascii="黑体" w:hAnsi="黑体" w:eastAsia="黑体"/>
          <w:sz w:val="28"/>
          <w:szCs w:val="28"/>
        </w:rPr>
      </w:pPr>
    </w:p>
    <w:p w14:paraId="4BE57A33">
      <w:pPr>
        <w:widowControl/>
        <w:adjustRightInd w:val="0"/>
        <w:snapToGrid w:val="0"/>
        <w:spacing w:line="360" w:lineRule="auto"/>
        <w:ind w:firstLine="560" w:firstLineChars="200"/>
        <w:rPr>
          <w:rFonts w:ascii="黑体" w:hAnsi="黑体" w:eastAsia="黑体"/>
          <w:sz w:val="28"/>
          <w:szCs w:val="28"/>
        </w:rPr>
      </w:pPr>
    </w:p>
    <w:p w14:paraId="781610D4">
      <w:pPr>
        <w:widowControl/>
        <w:adjustRightInd w:val="0"/>
        <w:snapToGrid w:val="0"/>
        <w:spacing w:line="360" w:lineRule="auto"/>
        <w:ind w:firstLine="560" w:firstLineChars="200"/>
        <w:rPr>
          <w:rFonts w:ascii="黑体" w:hAnsi="黑体" w:eastAsia="黑体"/>
          <w:sz w:val="28"/>
          <w:szCs w:val="28"/>
        </w:rPr>
      </w:pPr>
    </w:p>
    <w:p w14:paraId="607ACA3D">
      <w:pPr>
        <w:widowControl/>
        <w:adjustRightInd w:val="0"/>
        <w:snapToGrid w:val="0"/>
        <w:spacing w:line="360" w:lineRule="auto"/>
        <w:ind w:firstLine="560" w:firstLineChars="200"/>
        <w:rPr>
          <w:rFonts w:ascii="黑体" w:hAnsi="黑体" w:eastAsia="黑体"/>
          <w:sz w:val="28"/>
          <w:szCs w:val="28"/>
        </w:rPr>
      </w:pPr>
    </w:p>
    <w:p w14:paraId="4A3CF07B">
      <w:pPr>
        <w:widowControl/>
        <w:adjustRightInd w:val="0"/>
        <w:snapToGrid w:val="0"/>
        <w:spacing w:line="360" w:lineRule="auto"/>
        <w:ind w:firstLine="560" w:firstLineChars="200"/>
        <w:rPr>
          <w:rFonts w:ascii="黑体" w:hAnsi="黑体" w:eastAsia="黑体"/>
          <w:sz w:val="28"/>
          <w:szCs w:val="28"/>
        </w:rPr>
      </w:pPr>
    </w:p>
    <w:p w14:paraId="54B52D59">
      <w:pPr>
        <w:widowControl/>
        <w:adjustRightInd w:val="0"/>
        <w:snapToGrid w:val="0"/>
        <w:spacing w:line="360" w:lineRule="auto"/>
        <w:ind w:firstLine="560" w:firstLineChars="200"/>
        <w:rPr>
          <w:rFonts w:ascii="黑体" w:hAnsi="黑体" w:eastAsia="黑体"/>
          <w:sz w:val="28"/>
          <w:szCs w:val="28"/>
        </w:rPr>
      </w:pPr>
    </w:p>
    <w:p w14:paraId="1FD56C68">
      <w:pPr>
        <w:widowControl/>
        <w:adjustRightInd w:val="0"/>
        <w:snapToGrid w:val="0"/>
        <w:spacing w:line="360" w:lineRule="auto"/>
        <w:ind w:firstLine="560" w:firstLineChars="200"/>
        <w:rPr>
          <w:rFonts w:ascii="黑体" w:hAnsi="黑体" w:eastAsia="黑体"/>
          <w:sz w:val="28"/>
          <w:szCs w:val="28"/>
        </w:rPr>
      </w:pPr>
    </w:p>
    <w:p w14:paraId="6FBB9FBC">
      <w:pPr>
        <w:widowControl/>
        <w:adjustRightInd w:val="0"/>
        <w:snapToGrid w:val="0"/>
        <w:spacing w:line="360" w:lineRule="auto"/>
        <w:ind w:firstLine="560" w:firstLineChars="200"/>
        <w:rPr>
          <w:rFonts w:ascii="黑体" w:hAnsi="黑体" w:eastAsia="黑体"/>
          <w:sz w:val="28"/>
          <w:szCs w:val="28"/>
        </w:rPr>
      </w:pPr>
    </w:p>
    <w:p w14:paraId="68F64BA6">
      <w:pPr>
        <w:widowControl/>
        <w:adjustRightInd w:val="0"/>
        <w:snapToGrid w:val="0"/>
        <w:spacing w:line="360" w:lineRule="auto"/>
        <w:ind w:firstLine="560" w:firstLineChars="200"/>
        <w:rPr>
          <w:rFonts w:ascii="黑体" w:hAnsi="黑体" w:eastAsia="黑体"/>
          <w:sz w:val="28"/>
          <w:szCs w:val="28"/>
        </w:rPr>
      </w:pPr>
    </w:p>
    <w:p w14:paraId="07CE0182">
      <w:pPr>
        <w:widowControl/>
        <w:adjustRightInd w:val="0"/>
        <w:snapToGrid w:val="0"/>
        <w:spacing w:line="360" w:lineRule="auto"/>
        <w:ind w:firstLine="560" w:firstLineChars="200"/>
        <w:rPr>
          <w:rFonts w:ascii="黑体" w:hAnsi="黑体" w:eastAsia="黑体"/>
          <w:sz w:val="28"/>
          <w:szCs w:val="28"/>
        </w:rPr>
      </w:pPr>
    </w:p>
    <w:p w14:paraId="00B5AB80">
      <w:pPr>
        <w:widowControl/>
        <w:adjustRightInd w:val="0"/>
        <w:snapToGrid w:val="0"/>
        <w:spacing w:line="360" w:lineRule="auto"/>
        <w:ind w:firstLine="560" w:firstLineChars="200"/>
        <w:rPr>
          <w:rFonts w:ascii="黑体" w:hAnsi="黑体" w:eastAsia="黑体"/>
          <w:sz w:val="28"/>
          <w:szCs w:val="28"/>
        </w:rPr>
      </w:pPr>
    </w:p>
    <w:p w14:paraId="03B8EDE1">
      <w:pPr>
        <w:widowControl/>
        <w:adjustRightInd w:val="0"/>
        <w:snapToGrid w:val="0"/>
        <w:spacing w:line="360" w:lineRule="auto"/>
        <w:ind w:firstLine="560" w:firstLineChars="200"/>
        <w:rPr>
          <w:rFonts w:ascii="黑体" w:hAnsi="黑体" w:eastAsia="黑体"/>
          <w:sz w:val="28"/>
          <w:szCs w:val="28"/>
        </w:rPr>
      </w:pPr>
    </w:p>
    <w:p w14:paraId="38E1B77C">
      <w:pPr>
        <w:adjustRightInd w:val="0"/>
        <w:snapToGrid w:val="0"/>
        <w:spacing w:line="360" w:lineRule="auto"/>
        <w:jc w:val="center"/>
        <w:rPr>
          <w:rFonts w:ascii="仿宋" w:hAnsi="仿宋" w:eastAsia="仿宋" w:cs="仿宋"/>
          <w:b/>
          <w:bCs/>
          <w:sz w:val="28"/>
          <w:szCs w:val="28"/>
        </w:rPr>
      </w:pPr>
      <w:r>
        <w:rPr>
          <w:rFonts w:ascii="宋体" w:hAnsi="宋体"/>
          <w:szCs w:val="21"/>
        </w:rPr>
        <w:br w:type="page"/>
      </w:r>
      <w:r>
        <w:rPr>
          <w:rFonts w:hint="eastAsia" w:ascii="宋体" w:hAnsi="宋体"/>
          <w:b/>
          <w:bCs/>
          <w:sz w:val="30"/>
          <w:szCs w:val="30"/>
        </w:rPr>
        <w:t>8</w:t>
      </w:r>
      <w:r>
        <w:rPr>
          <w:rFonts w:hint="eastAsia" w:ascii="仿宋" w:hAnsi="仿宋" w:eastAsia="仿宋" w:cs="仿宋"/>
          <w:b/>
          <w:bCs/>
          <w:sz w:val="30"/>
          <w:szCs w:val="30"/>
        </w:rPr>
        <w:t>.技术标准</w:t>
      </w:r>
    </w:p>
    <w:p w14:paraId="405EC764">
      <w:pPr>
        <w:adjustRightInd w:val="0"/>
        <w:snapToGrid w:val="0"/>
        <w:spacing w:beforeLines="50" w:after="100" w:afterAutospacing="1" w:line="360" w:lineRule="auto"/>
        <w:rPr>
          <w:rFonts w:ascii="微软雅黑" w:hAnsi="微软雅黑" w:eastAsia="微软雅黑" w:cs="微软雅黑"/>
          <w:szCs w:val="21"/>
        </w:rPr>
      </w:pPr>
    </w:p>
    <w:p w14:paraId="0638DA73">
      <w:pPr>
        <w:adjustRightInd w:val="0"/>
        <w:snapToGrid w:val="0"/>
        <w:spacing w:line="360" w:lineRule="auto"/>
        <w:ind w:firstLine="420" w:firstLineChars="200"/>
        <w:jc w:val="center"/>
        <w:rPr>
          <w:rFonts w:ascii="微软雅黑" w:hAnsi="微软雅黑" w:eastAsia="微软雅黑" w:cs="微软雅黑"/>
          <w:szCs w:val="21"/>
        </w:rPr>
      </w:pPr>
    </w:p>
    <w:p w14:paraId="50CD41E3">
      <w:pPr>
        <w:adjustRightInd w:val="0"/>
        <w:snapToGrid w:val="0"/>
        <w:spacing w:line="360" w:lineRule="auto"/>
        <w:ind w:firstLine="420" w:firstLineChars="200"/>
        <w:jc w:val="center"/>
        <w:rPr>
          <w:rFonts w:ascii="微软雅黑" w:hAnsi="微软雅黑" w:eastAsia="微软雅黑" w:cs="微软雅黑"/>
          <w:szCs w:val="21"/>
        </w:rPr>
      </w:pPr>
    </w:p>
    <w:p w14:paraId="154CBA0B">
      <w:pPr>
        <w:adjustRightInd w:val="0"/>
        <w:snapToGrid w:val="0"/>
        <w:spacing w:line="360" w:lineRule="auto"/>
        <w:ind w:firstLine="420" w:firstLineChars="200"/>
        <w:jc w:val="center"/>
        <w:rPr>
          <w:rFonts w:ascii="微软雅黑" w:hAnsi="微软雅黑" w:eastAsia="微软雅黑" w:cs="微软雅黑"/>
          <w:szCs w:val="21"/>
        </w:rPr>
      </w:pPr>
    </w:p>
    <w:p w14:paraId="6F04D2E2">
      <w:pPr>
        <w:pStyle w:val="3"/>
        <w:rPr>
          <w:rFonts w:ascii="微软雅黑" w:hAnsi="微软雅黑" w:eastAsia="微软雅黑" w:cs="微软雅黑"/>
          <w:sz w:val="21"/>
          <w:szCs w:val="21"/>
        </w:rPr>
      </w:pPr>
    </w:p>
    <w:p w14:paraId="7C513B26">
      <w:pPr>
        <w:rPr>
          <w:rFonts w:ascii="微软雅黑" w:hAnsi="微软雅黑" w:eastAsia="微软雅黑" w:cs="微软雅黑"/>
          <w:szCs w:val="21"/>
        </w:rPr>
      </w:pPr>
    </w:p>
    <w:p w14:paraId="5F86FD2B">
      <w:pPr>
        <w:pStyle w:val="3"/>
        <w:rPr>
          <w:rFonts w:ascii="微软雅黑" w:hAnsi="微软雅黑" w:eastAsia="微软雅黑" w:cs="微软雅黑"/>
          <w:sz w:val="21"/>
          <w:szCs w:val="21"/>
        </w:rPr>
      </w:pPr>
    </w:p>
    <w:p w14:paraId="32515995">
      <w:pPr>
        <w:rPr>
          <w:rFonts w:ascii="微软雅黑" w:hAnsi="微软雅黑" w:eastAsia="微软雅黑" w:cs="微软雅黑"/>
          <w:szCs w:val="21"/>
        </w:rPr>
      </w:pPr>
    </w:p>
    <w:p w14:paraId="129DC719">
      <w:pPr>
        <w:pStyle w:val="3"/>
        <w:rPr>
          <w:rFonts w:ascii="微软雅黑" w:hAnsi="微软雅黑" w:eastAsia="微软雅黑" w:cs="微软雅黑"/>
          <w:sz w:val="21"/>
          <w:szCs w:val="21"/>
        </w:rPr>
      </w:pPr>
    </w:p>
    <w:p w14:paraId="6419B13C">
      <w:pPr>
        <w:rPr>
          <w:rFonts w:ascii="微软雅黑" w:hAnsi="微软雅黑" w:eastAsia="微软雅黑" w:cs="微软雅黑"/>
          <w:szCs w:val="21"/>
        </w:rPr>
      </w:pPr>
    </w:p>
    <w:p w14:paraId="0FFF32E8">
      <w:pPr>
        <w:pStyle w:val="3"/>
        <w:rPr>
          <w:rFonts w:ascii="微软雅黑" w:hAnsi="微软雅黑" w:eastAsia="微软雅黑" w:cs="微软雅黑"/>
          <w:sz w:val="21"/>
          <w:szCs w:val="21"/>
        </w:rPr>
      </w:pPr>
    </w:p>
    <w:p w14:paraId="7AE7C4CD">
      <w:pPr>
        <w:rPr>
          <w:rFonts w:ascii="微软雅黑" w:hAnsi="微软雅黑" w:eastAsia="微软雅黑" w:cs="微软雅黑"/>
          <w:szCs w:val="21"/>
        </w:rPr>
      </w:pPr>
    </w:p>
    <w:p w14:paraId="30953FD1">
      <w:pPr>
        <w:pStyle w:val="3"/>
        <w:rPr>
          <w:rFonts w:ascii="微软雅黑" w:hAnsi="微软雅黑" w:eastAsia="微软雅黑" w:cs="微软雅黑"/>
          <w:sz w:val="21"/>
          <w:szCs w:val="21"/>
        </w:rPr>
      </w:pPr>
    </w:p>
    <w:p w14:paraId="29827B22">
      <w:pPr>
        <w:rPr>
          <w:rFonts w:ascii="微软雅黑" w:hAnsi="微软雅黑" w:eastAsia="微软雅黑" w:cs="微软雅黑"/>
          <w:szCs w:val="21"/>
        </w:rPr>
      </w:pPr>
    </w:p>
    <w:p w14:paraId="01497696">
      <w:pPr>
        <w:pStyle w:val="3"/>
        <w:rPr>
          <w:rFonts w:ascii="微软雅黑" w:hAnsi="微软雅黑" w:eastAsia="微软雅黑" w:cs="微软雅黑"/>
          <w:sz w:val="21"/>
          <w:szCs w:val="21"/>
        </w:rPr>
      </w:pPr>
    </w:p>
    <w:p w14:paraId="0C90E227">
      <w:pPr>
        <w:rPr>
          <w:rFonts w:ascii="微软雅黑" w:hAnsi="微软雅黑" w:eastAsia="微软雅黑" w:cs="微软雅黑"/>
          <w:szCs w:val="21"/>
        </w:rPr>
      </w:pPr>
    </w:p>
    <w:p w14:paraId="7C1A8848">
      <w:pPr>
        <w:pStyle w:val="3"/>
        <w:rPr>
          <w:rFonts w:ascii="微软雅黑" w:hAnsi="微软雅黑" w:eastAsia="微软雅黑" w:cs="微软雅黑"/>
          <w:sz w:val="21"/>
          <w:szCs w:val="21"/>
        </w:rPr>
      </w:pPr>
    </w:p>
    <w:p w14:paraId="0CAA216F">
      <w:pPr>
        <w:rPr>
          <w:rFonts w:ascii="微软雅黑" w:hAnsi="微软雅黑" w:eastAsia="微软雅黑" w:cs="微软雅黑"/>
          <w:szCs w:val="21"/>
        </w:rPr>
      </w:pPr>
    </w:p>
    <w:p w14:paraId="165F7FCA">
      <w:pPr>
        <w:pStyle w:val="3"/>
        <w:rPr>
          <w:rFonts w:ascii="微软雅黑" w:hAnsi="微软雅黑" w:eastAsia="微软雅黑" w:cs="微软雅黑"/>
          <w:sz w:val="21"/>
          <w:szCs w:val="21"/>
        </w:rPr>
      </w:pPr>
    </w:p>
    <w:p w14:paraId="4B26FB62">
      <w:pPr>
        <w:rPr>
          <w:rFonts w:ascii="微软雅黑" w:hAnsi="微软雅黑" w:eastAsia="微软雅黑" w:cs="微软雅黑"/>
          <w:szCs w:val="21"/>
        </w:rPr>
      </w:pPr>
    </w:p>
    <w:p w14:paraId="76900AD0">
      <w:pPr>
        <w:pStyle w:val="3"/>
      </w:pPr>
    </w:p>
    <w:p w14:paraId="39B4D909">
      <w:pPr>
        <w:adjustRightInd w:val="0"/>
        <w:snapToGrid w:val="0"/>
        <w:spacing w:line="360" w:lineRule="auto"/>
        <w:ind w:firstLine="420" w:firstLineChars="200"/>
        <w:jc w:val="center"/>
        <w:rPr>
          <w:rFonts w:ascii="微软雅黑" w:hAnsi="微软雅黑" w:eastAsia="微软雅黑" w:cs="微软雅黑"/>
          <w:szCs w:val="21"/>
        </w:rPr>
      </w:pPr>
    </w:p>
    <w:p w14:paraId="75697FD0">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9.技术条款偏离表</w:t>
      </w:r>
    </w:p>
    <w:p w14:paraId="5FDEFC2C">
      <w:pPr>
        <w:adjustRightInd w:val="0"/>
        <w:snapToGrid w:val="0"/>
        <w:spacing w:line="360" w:lineRule="auto"/>
        <w:ind w:firstLine="420" w:firstLineChars="200"/>
        <w:rPr>
          <w:rFonts w:ascii="宋体" w:hAnsi="宋体" w:cs="宋体"/>
          <w:szCs w:val="21"/>
        </w:rPr>
      </w:pPr>
    </w:p>
    <w:p w14:paraId="2B0A437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项目名称：                 项目编号：</w:t>
      </w:r>
    </w:p>
    <w:p w14:paraId="519ED8A7">
      <w:pPr>
        <w:adjustRightInd w:val="0"/>
        <w:snapToGrid w:val="0"/>
        <w:spacing w:line="360" w:lineRule="auto"/>
        <w:ind w:firstLine="420" w:firstLineChars="200"/>
        <w:rPr>
          <w:rFonts w:ascii="黑体" w:hAnsi="宋体" w:eastAsia="黑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5900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382EC5E6">
            <w:pPr>
              <w:adjustRightInd w:val="0"/>
              <w:snapToGrid w:val="0"/>
              <w:spacing w:line="360" w:lineRule="auto"/>
              <w:rPr>
                <w:rFonts w:ascii="黑体" w:hAnsi="宋体" w:eastAsia="黑体"/>
                <w:szCs w:val="21"/>
              </w:rPr>
            </w:pPr>
            <w:r>
              <w:rPr>
                <w:rFonts w:hint="eastAsia" w:ascii="黑体" w:hAnsi="宋体" w:eastAsia="黑体"/>
                <w:szCs w:val="21"/>
              </w:rPr>
              <w:t>序号</w:t>
            </w:r>
          </w:p>
        </w:tc>
        <w:tc>
          <w:tcPr>
            <w:tcW w:w="4231" w:type="dxa"/>
            <w:gridSpan w:val="2"/>
            <w:vAlign w:val="center"/>
          </w:tcPr>
          <w:p w14:paraId="29C0818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采购文件</w:t>
            </w:r>
          </w:p>
        </w:tc>
        <w:tc>
          <w:tcPr>
            <w:tcW w:w="4227" w:type="dxa"/>
            <w:gridSpan w:val="2"/>
            <w:vAlign w:val="center"/>
          </w:tcPr>
          <w:p w14:paraId="5D4B447D">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响应文件</w:t>
            </w:r>
          </w:p>
        </w:tc>
      </w:tr>
      <w:tr w14:paraId="2AA2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53306ED5">
            <w:pPr>
              <w:adjustRightInd w:val="0"/>
              <w:snapToGrid w:val="0"/>
              <w:spacing w:line="360" w:lineRule="auto"/>
              <w:ind w:firstLine="420" w:firstLineChars="200"/>
              <w:jc w:val="center"/>
              <w:rPr>
                <w:rFonts w:ascii="黑体" w:hAnsi="宋体" w:eastAsia="黑体"/>
                <w:szCs w:val="21"/>
              </w:rPr>
            </w:pPr>
          </w:p>
        </w:tc>
        <w:tc>
          <w:tcPr>
            <w:tcW w:w="1081" w:type="dxa"/>
            <w:vAlign w:val="center"/>
          </w:tcPr>
          <w:p w14:paraId="706D9C26">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150" w:type="dxa"/>
            <w:vAlign w:val="center"/>
          </w:tcPr>
          <w:p w14:paraId="76CDF4D9">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c>
          <w:tcPr>
            <w:tcW w:w="1172" w:type="dxa"/>
            <w:vAlign w:val="center"/>
          </w:tcPr>
          <w:p w14:paraId="5945CB77">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055" w:type="dxa"/>
            <w:vAlign w:val="center"/>
          </w:tcPr>
          <w:p w14:paraId="4B1954B8">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r>
      <w:tr w14:paraId="02FD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6F20B0E">
            <w:pPr>
              <w:adjustRightInd w:val="0"/>
              <w:snapToGrid w:val="0"/>
              <w:spacing w:line="360" w:lineRule="auto"/>
              <w:ind w:firstLine="420" w:firstLineChars="200"/>
              <w:jc w:val="center"/>
              <w:rPr>
                <w:rFonts w:ascii="宋体" w:hAnsi="宋体"/>
                <w:szCs w:val="21"/>
              </w:rPr>
            </w:pPr>
          </w:p>
        </w:tc>
        <w:tc>
          <w:tcPr>
            <w:tcW w:w="1081" w:type="dxa"/>
            <w:vAlign w:val="center"/>
          </w:tcPr>
          <w:p w14:paraId="298D45E7">
            <w:pPr>
              <w:adjustRightInd w:val="0"/>
              <w:snapToGrid w:val="0"/>
              <w:spacing w:line="360" w:lineRule="auto"/>
              <w:ind w:firstLine="420" w:firstLineChars="200"/>
              <w:jc w:val="center"/>
              <w:rPr>
                <w:rFonts w:ascii="宋体" w:hAnsi="宋体"/>
                <w:szCs w:val="21"/>
              </w:rPr>
            </w:pPr>
          </w:p>
        </w:tc>
        <w:tc>
          <w:tcPr>
            <w:tcW w:w="3150" w:type="dxa"/>
            <w:vAlign w:val="center"/>
          </w:tcPr>
          <w:p w14:paraId="6DB4A648">
            <w:pPr>
              <w:adjustRightInd w:val="0"/>
              <w:snapToGrid w:val="0"/>
              <w:spacing w:line="360" w:lineRule="auto"/>
              <w:ind w:firstLine="420" w:firstLineChars="200"/>
              <w:jc w:val="center"/>
              <w:rPr>
                <w:rFonts w:ascii="宋体" w:hAnsi="宋体"/>
                <w:szCs w:val="21"/>
              </w:rPr>
            </w:pPr>
          </w:p>
        </w:tc>
        <w:tc>
          <w:tcPr>
            <w:tcW w:w="1172" w:type="dxa"/>
            <w:vAlign w:val="center"/>
          </w:tcPr>
          <w:p w14:paraId="3F6AC10D">
            <w:pPr>
              <w:adjustRightInd w:val="0"/>
              <w:snapToGrid w:val="0"/>
              <w:spacing w:line="360" w:lineRule="auto"/>
              <w:ind w:firstLine="420" w:firstLineChars="200"/>
              <w:jc w:val="center"/>
              <w:rPr>
                <w:rFonts w:ascii="宋体" w:hAnsi="宋体"/>
                <w:szCs w:val="21"/>
              </w:rPr>
            </w:pPr>
          </w:p>
        </w:tc>
        <w:tc>
          <w:tcPr>
            <w:tcW w:w="3055" w:type="dxa"/>
            <w:vAlign w:val="center"/>
          </w:tcPr>
          <w:p w14:paraId="4193DF02">
            <w:pPr>
              <w:adjustRightInd w:val="0"/>
              <w:snapToGrid w:val="0"/>
              <w:spacing w:line="360" w:lineRule="auto"/>
              <w:ind w:firstLine="420" w:firstLineChars="200"/>
              <w:jc w:val="center"/>
              <w:rPr>
                <w:rFonts w:ascii="宋体" w:hAnsi="宋体"/>
                <w:szCs w:val="21"/>
              </w:rPr>
            </w:pPr>
          </w:p>
        </w:tc>
      </w:tr>
      <w:tr w14:paraId="6B1F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7574366">
            <w:pPr>
              <w:adjustRightInd w:val="0"/>
              <w:snapToGrid w:val="0"/>
              <w:spacing w:line="360" w:lineRule="auto"/>
              <w:ind w:firstLine="420" w:firstLineChars="200"/>
              <w:jc w:val="center"/>
              <w:rPr>
                <w:rFonts w:ascii="宋体" w:hAnsi="宋体"/>
                <w:szCs w:val="21"/>
              </w:rPr>
            </w:pPr>
          </w:p>
        </w:tc>
        <w:tc>
          <w:tcPr>
            <w:tcW w:w="1081" w:type="dxa"/>
            <w:vAlign w:val="center"/>
          </w:tcPr>
          <w:p w14:paraId="24408B8A">
            <w:pPr>
              <w:adjustRightInd w:val="0"/>
              <w:snapToGrid w:val="0"/>
              <w:spacing w:line="360" w:lineRule="auto"/>
              <w:ind w:firstLine="420" w:firstLineChars="200"/>
              <w:jc w:val="center"/>
              <w:rPr>
                <w:rFonts w:ascii="宋体" w:hAnsi="宋体"/>
                <w:szCs w:val="21"/>
              </w:rPr>
            </w:pPr>
          </w:p>
        </w:tc>
        <w:tc>
          <w:tcPr>
            <w:tcW w:w="3150" w:type="dxa"/>
            <w:vAlign w:val="center"/>
          </w:tcPr>
          <w:p w14:paraId="253D6FE0">
            <w:pPr>
              <w:adjustRightInd w:val="0"/>
              <w:snapToGrid w:val="0"/>
              <w:spacing w:line="360" w:lineRule="auto"/>
              <w:ind w:firstLine="420" w:firstLineChars="200"/>
              <w:jc w:val="center"/>
              <w:rPr>
                <w:rFonts w:ascii="宋体" w:hAnsi="宋体"/>
                <w:szCs w:val="21"/>
              </w:rPr>
            </w:pPr>
          </w:p>
        </w:tc>
        <w:tc>
          <w:tcPr>
            <w:tcW w:w="1172" w:type="dxa"/>
            <w:vAlign w:val="center"/>
          </w:tcPr>
          <w:p w14:paraId="00399DDD">
            <w:pPr>
              <w:adjustRightInd w:val="0"/>
              <w:snapToGrid w:val="0"/>
              <w:spacing w:line="360" w:lineRule="auto"/>
              <w:ind w:firstLine="420" w:firstLineChars="200"/>
              <w:jc w:val="center"/>
              <w:rPr>
                <w:rFonts w:ascii="宋体" w:hAnsi="宋体"/>
                <w:szCs w:val="21"/>
              </w:rPr>
            </w:pPr>
          </w:p>
        </w:tc>
        <w:tc>
          <w:tcPr>
            <w:tcW w:w="3055" w:type="dxa"/>
            <w:vAlign w:val="center"/>
          </w:tcPr>
          <w:p w14:paraId="6C855D79">
            <w:pPr>
              <w:adjustRightInd w:val="0"/>
              <w:snapToGrid w:val="0"/>
              <w:spacing w:line="360" w:lineRule="auto"/>
              <w:ind w:firstLine="420" w:firstLineChars="200"/>
              <w:jc w:val="center"/>
              <w:rPr>
                <w:rFonts w:ascii="宋体" w:hAnsi="宋体"/>
                <w:szCs w:val="21"/>
              </w:rPr>
            </w:pPr>
          </w:p>
        </w:tc>
      </w:tr>
      <w:tr w14:paraId="615D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B8A14BC">
            <w:pPr>
              <w:adjustRightInd w:val="0"/>
              <w:snapToGrid w:val="0"/>
              <w:spacing w:line="360" w:lineRule="auto"/>
              <w:ind w:firstLine="420" w:firstLineChars="200"/>
              <w:jc w:val="center"/>
              <w:rPr>
                <w:rFonts w:ascii="宋体" w:hAnsi="宋体"/>
                <w:szCs w:val="21"/>
              </w:rPr>
            </w:pPr>
          </w:p>
        </w:tc>
        <w:tc>
          <w:tcPr>
            <w:tcW w:w="1081" w:type="dxa"/>
            <w:vAlign w:val="center"/>
          </w:tcPr>
          <w:p w14:paraId="06528ACD">
            <w:pPr>
              <w:adjustRightInd w:val="0"/>
              <w:snapToGrid w:val="0"/>
              <w:spacing w:line="360" w:lineRule="auto"/>
              <w:ind w:firstLine="420" w:firstLineChars="200"/>
              <w:jc w:val="center"/>
              <w:rPr>
                <w:rFonts w:ascii="宋体" w:hAnsi="宋体"/>
                <w:szCs w:val="21"/>
              </w:rPr>
            </w:pPr>
          </w:p>
        </w:tc>
        <w:tc>
          <w:tcPr>
            <w:tcW w:w="3150" w:type="dxa"/>
            <w:vAlign w:val="center"/>
          </w:tcPr>
          <w:p w14:paraId="77B3CB3E">
            <w:pPr>
              <w:adjustRightInd w:val="0"/>
              <w:snapToGrid w:val="0"/>
              <w:spacing w:line="360" w:lineRule="auto"/>
              <w:ind w:firstLine="420" w:firstLineChars="200"/>
              <w:jc w:val="center"/>
              <w:rPr>
                <w:rFonts w:ascii="宋体" w:hAnsi="宋体"/>
                <w:szCs w:val="21"/>
              </w:rPr>
            </w:pPr>
          </w:p>
        </w:tc>
        <w:tc>
          <w:tcPr>
            <w:tcW w:w="1172" w:type="dxa"/>
            <w:vAlign w:val="center"/>
          </w:tcPr>
          <w:p w14:paraId="53561453">
            <w:pPr>
              <w:adjustRightInd w:val="0"/>
              <w:snapToGrid w:val="0"/>
              <w:spacing w:line="360" w:lineRule="auto"/>
              <w:ind w:firstLine="420" w:firstLineChars="200"/>
              <w:jc w:val="center"/>
              <w:rPr>
                <w:rFonts w:ascii="宋体" w:hAnsi="宋体"/>
                <w:szCs w:val="21"/>
              </w:rPr>
            </w:pPr>
          </w:p>
        </w:tc>
        <w:tc>
          <w:tcPr>
            <w:tcW w:w="3055" w:type="dxa"/>
            <w:vAlign w:val="center"/>
          </w:tcPr>
          <w:p w14:paraId="7F13BB76">
            <w:pPr>
              <w:adjustRightInd w:val="0"/>
              <w:snapToGrid w:val="0"/>
              <w:spacing w:line="360" w:lineRule="auto"/>
              <w:ind w:firstLine="420" w:firstLineChars="200"/>
              <w:jc w:val="center"/>
              <w:rPr>
                <w:rFonts w:ascii="宋体" w:hAnsi="宋体"/>
                <w:szCs w:val="21"/>
              </w:rPr>
            </w:pPr>
          </w:p>
        </w:tc>
      </w:tr>
      <w:tr w14:paraId="00C5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5E06797">
            <w:pPr>
              <w:adjustRightInd w:val="0"/>
              <w:snapToGrid w:val="0"/>
              <w:spacing w:line="360" w:lineRule="auto"/>
              <w:ind w:firstLine="420" w:firstLineChars="200"/>
              <w:jc w:val="center"/>
              <w:rPr>
                <w:rFonts w:ascii="宋体" w:hAnsi="宋体"/>
                <w:szCs w:val="21"/>
              </w:rPr>
            </w:pPr>
          </w:p>
        </w:tc>
        <w:tc>
          <w:tcPr>
            <w:tcW w:w="1081" w:type="dxa"/>
            <w:vAlign w:val="center"/>
          </w:tcPr>
          <w:p w14:paraId="07FD958E">
            <w:pPr>
              <w:adjustRightInd w:val="0"/>
              <w:snapToGrid w:val="0"/>
              <w:spacing w:line="360" w:lineRule="auto"/>
              <w:ind w:firstLine="420" w:firstLineChars="200"/>
              <w:jc w:val="center"/>
              <w:rPr>
                <w:rFonts w:ascii="宋体" w:hAnsi="宋体"/>
                <w:szCs w:val="21"/>
              </w:rPr>
            </w:pPr>
          </w:p>
        </w:tc>
        <w:tc>
          <w:tcPr>
            <w:tcW w:w="3150" w:type="dxa"/>
            <w:vAlign w:val="center"/>
          </w:tcPr>
          <w:p w14:paraId="7C776AAA">
            <w:pPr>
              <w:adjustRightInd w:val="0"/>
              <w:snapToGrid w:val="0"/>
              <w:spacing w:line="360" w:lineRule="auto"/>
              <w:ind w:firstLine="420" w:firstLineChars="200"/>
              <w:jc w:val="center"/>
              <w:rPr>
                <w:rFonts w:ascii="宋体" w:hAnsi="宋体"/>
                <w:szCs w:val="21"/>
              </w:rPr>
            </w:pPr>
          </w:p>
        </w:tc>
        <w:tc>
          <w:tcPr>
            <w:tcW w:w="1172" w:type="dxa"/>
            <w:vAlign w:val="center"/>
          </w:tcPr>
          <w:p w14:paraId="1EEB71ED">
            <w:pPr>
              <w:adjustRightInd w:val="0"/>
              <w:snapToGrid w:val="0"/>
              <w:spacing w:line="360" w:lineRule="auto"/>
              <w:ind w:firstLine="420" w:firstLineChars="200"/>
              <w:jc w:val="center"/>
              <w:rPr>
                <w:rFonts w:ascii="宋体" w:hAnsi="宋体"/>
                <w:szCs w:val="21"/>
              </w:rPr>
            </w:pPr>
          </w:p>
        </w:tc>
        <w:tc>
          <w:tcPr>
            <w:tcW w:w="3055" w:type="dxa"/>
            <w:vAlign w:val="center"/>
          </w:tcPr>
          <w:p w14:paraId="57F2A4F4">
            <w:pPr>
              <w:adjustRightInd w:val="0"/>
              <w:snapToGrid w:val="0"/>
              <w:spacing w:line="360" w:lineRule="auto"/>
              <w:ind w:firstLine="420" w:firstLineChars="200"/>
              <w:jc w:val="center"/>
              <w:rPr>
                <w:rFonts w:ascii="宋体" w:hAnsi="宋体"/>
                <w:szCs w:val="21"/>
              </w:rPr>
            </w:pPr>
          </w:p>
        </w:tc>
      </w:tr>
      <w:tr w14:paraId="713E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E14BD92">
            <w:pPr>
              <w:adjustRightInd w:val="0"/>
              <w:snapToGrid w:val="0"/>
              <w:spacing w:line="360" w:lineRule="auto"/>
              <w:ind w:firstLine="420" w:firstLineChars="200"/>
              <w:jc w:val="center"/>
              <w:rPr>
                <w:rFonts w:ascii="宋体" w:hAnsi="宋体"/>
                <w:szCs w:val="21"/>
              </w:rPr>
            </w:pPr>
          </w:p>
        </w:tc>
        <w:tc>
          <w:tcPr>
            <w:tcW w:w="1081" w:type="dxa"/>
            <w:vAlign w:val="center"/>
          </w:tcPr>
          <w:p w14:paraId="7B661AF0">
            <w:pPr>
              <w:adjustRightInd w:val="0"/>
              <w:snapToGrid w:val="0"/>
              <w:spacing w:line="360" w:lineRule="auto"/>
              <w:ind w:firstLine="420" w:firstLineChars="200"/>
              <w:jc w:val="center"/>
              <w:rPr>
                <w:rFonts w:ascii="宋体" w:hAnsi="宋体"/>
                <w:szCs w:val="21"/>
              </w:rPr>
            </w:pPr>
          </w:p>
        </w:tc>
        <w:tc>
          <w:tcPr>
            <w:tcW w:w="3150" w:type="dxa"/>
            <w:vAlign w:val="center"/>
          </w:tcPr>
          <w:p w14:paraId="5CC6E36E">
            <w:pPr>
              <w:adjustRightInd w:val="0"/>
              <w:snapToGrid w:val="0"/>
              <w:spacing w:line="360" w:lineRule="auto"/>
              <w:ind w:firstLine="420" w:firstLineChars="200"/>
              <w:jc w:val="center"/>
              <w:rPr>
                <w:rFonts w:ascii="宋体" w:hAnsi="宋体"/>
                <w:szCs w:val="21"/>
              </w:rPr>
            </w:pPr>
          </w:p>
        </w:tc>
        <w:tc>
          <w:tcPr>
            <w:tcW w:w="1172" w:type="dxa"/>
            <w:vAlign w:val="center"/>
          </w:tcPr>
          <w:p w14:paraId="0C5AEFD1">
            <w:pPr>
              <w:adjustRightInd w:val="0"/>
              <w:snapToGrid w:val="0"/>
              <w:spacing w:line="360" w:lineRule="auto"/>
              <w:ind w:firstLine="420" w:firstLineChars="200"/>
              <w:jc w:val="center"/>
              <w:rPr>
                <w:rFonts w:ascii="宋体" w:hAnsi="宋体"/>
                <w:szCs w:val="21"/>
              </w:rPr>
            </w:pPr>
          </w:p>
        </w:tc>
        <w:tc>
          <w:tcPr>
            <w:tcW w:w="3055" w:type="dxa"/>
            <w:vAlign w:val="center"/>
          </w:tcPr>
          <w:p w14:paraId="36D8D0EC">
            <w:pPr>
              <w:adjustRightInd w:val="0"/>
              <w:snapToGrid w:val="0"/>
              <w:spacing w:line="360" w:lineRule="auto"/>
              <w:ind w:firstLine="420" w:firstLineChars="200"/>
              <w:jc w:val="center"/>
              <w:rPr>
                <w:rFonts w:ascii="宋体" w:hAnsi="宋体"/>
                <w:szCs w:val="21"/>
              </w:rPr>
            </w:pPr>
          </w:p>
        </w:tc>
      </w:tr>
      <w:tr w14:paraId="6DD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C08889">
            <w:pPr>
              <w:adjustRightInd w:val="0"/>
              <w:snapToGrid w:val="0"/>
              <w:spacing w:line="360" w:lineRule="auto"/>
              <w:ind w:firstLine="420" w:firstLineChars="200"/>
              <w:jc w:val="center"/>
              <w:rPr>
                <w:rFonts w:ascii="宋体" w:hAnsi="宋体"/>
                <w:szCs w:val="21"/>
              </w:rPr>
            </w:pPr>
          </w:p>
        </w:tc>
        <w:tc>
          <w:tcPr>
            <w:tcW w:w="1081" w:type="dxa"/>
            <w:vAlign w:val="center"/>
          </w:tcPr>
          <w:p w14:paraId="4AB99F5D">
            <w:pPr>
              <w:adjustRightInd w:val="0"/>
              <w:snapToGrid w:val="0"/>
              <w:spacing w:line="360" w:lineRule="auto"/>
              <w:ind w:firstLine="420" w:firstLineChars="200"/>
              <w:jc w:val="center"/>
              <w:rPr>
                <w:rFonts w:ascii="宋体" w:hAnsi="宋体"/>
                <w:szCs w:val="21"/>
              </w:rPr>
            </w:pPr>
          </w:p>
        </w:tc>
        <w:tc>
          <w:tcPr>
            <w:tcW w:w="3150" w:type="dxa"/>
            <w:vAlign w:val="center"/>
          </w:tcPr>
          <w:p w14:paraId="58499A65">
            <w:pPr>
              <w:adjustRightInd w:val="0"/>
              <w:snapToGrid w:val="0"/>
              <w:spacing w:line="360" w:lineRule="auto"/>
              <w:ind w:firstLine="420" w:firstLineChars="200"/>
              <w:jc w:val="center"/>
              <w:rPr>
                <w:rFonts w:ascii="宋体" w:hAnsi="宋体"/>
                <w:szCs w:val="21"/>
              </w:rPr>
            </w:pPr>
          </w:p>
        </w:tc>
        <w:tc>
          <w:tcPr>
            <w:tcW w:w="1172" w:type="dxa"/>
            <w:vAlign w:val="center"/>
          </w:tcPr>
          <w:p w14:paraId="5E14AB3C">
            <w:pPr>
              <w:adjustRightInd w:val="0"/>
              <w:snapToGrid w:val="0"/>
              <w:spacing w:line="360" w:lineRule="auto"/>
              <w:ind w:firstLine="420" w:firstLineChars="200"/>
              <w:jc w:val="center"/>
              <w:rPr>
                <w:rFonts w:ascii="宋体" w:hAnsi="宋体"/>
                <w:szCs w:val="21"/>
              </w:rPr>
            </w:pPr>
          </w:p>
        </w:tc>
        <w:tc>
          <w:tcPr>
            <w:tcW w:w="3055" w:type="dxa"/>
            <w:vAlign w:val="center"/>
          </w:tcPr>
          <w:p w14:paraId="575EB431">
            <w:pPr>
              <w:adjustRightInd w:val="0"/>
              <w:snapToGrid w:val="0"/>
              <w:spacing w:line="360" w:lineRule="auto"/>
              <w:ind w:firstLine="420" w:firstLineChars="200"/>
              <w:jc w:val="center"/>
              <w:rPr>
                <w:rFonts w:ascii="宋体" w:hAnsi="宋体"/>
                <w:szCs w:val="21"/>
              </w:rPr>
            </w:pPr>
          </w:p>
        </w:tc>
      </w:tr>
      <w:tr w14:paraId="40DB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EF7954B">
            <w:pPr>
              <w:adjustRightInd w:val="0"/>
              <w:snapToGrid w:val="0"/>
              <w:spacing w:line="360" w:lineRule="auto"/>
              <w:ind w:firstLine="420" w:firstLineChars="200"/>
              <w:jc w:val="center"/>
              <w:rPr>
                <w:rFonts w:ascii="宋体" w:hAnsi="宋体"/>
                <w:szCs w:val="21"/>
              </w:rPr>
            </w:pPr>
          </w:p>
        </w:tc>
        <w:tc>
          <w:tcPr>
            <w:tcW w:w="1081" w:type="dxa"/>
            <w:vAlign w:val="center"/>
          </w:tcPr>
          <w:p w14:paraId="2DFCA1B4">
            <w:pPr>
              <w:adjustRightInd w:val="0"/>
              <w:snapToGrid w:val="0"/>
              <w:spacing w:line="360" w:lineRule="auto"/>
              <w:ind w:firstLine="420" w:firstLineChars="200"/>
              <w:jc w:val="center"/>
              <w:rPr>
                <w:rFonts w:ascii="宋体" w:hAnsi="宋体"/>
                <w:szCs w:val="21"/>
              </w:rPr>
            </w:pPr>
          </w:p>
        </w:tc>
        <w:tc>
          <w:tcPr>
            <w:tcW w:w="3150" w:type="dxa"/>
            <w:vAlign w:val="center"/>
          </w:tcPr>
          <w:p w14:paraId="14C9650E">
            <w:pPr>
              <w:adjustRightInd w:val="0"/>
              <w:snapToGrid w:val="0"/>
              <w:spacing w:line="360" w:lineRule="auto"/>
              <w:ind w:firstLine="420" w:firstLineChars="200"/>
              <w:jc w:val="center"/>
              <w:rPr>
                <w:rFonts w:ascii="宋体" w:hAnsi="宋体"/>
                <w:szCs w:val="21"/>
              </w:rPr>
            </w:pPr>
          </w:p>
        </w:tc>
        <w:tc>
          <w:tcPr>
            <w:tcW w:w="1172" w:type="dxa"/>
            <w:vAlign w:val="center"/>
          </w:tcPr>
          <w:p w14:paraId="078BC8F1">
            <w:pPr>
              <w:adjustRightInd w:val="0"/>
              <w:snapToGrid w:val="0"/>
              <w:spacing w:line="360" w:lineRule="auto"/>
              <w:ind w:firstLine="420" w:firstLineChars="200"/>
              <w:jc w:val="center"/>
              <w:rPr>
                <w:rFonts w:ascii="宋体" w:hAnsi="宋体"/>
                <w:szCs w:val="21"/>
              </w:rPr>
            </w:pPr>
          </w:p>
        </w:tc>
        <w:tc>
          <w:tcPr>
            <w:tcW w:w="3055" w:type="dxa"/>
            <w:vAlign w:val="center"/>
          </w:tcPr>
          <w:p w14:paraId="127BC681">
            <w:pPr>
              <w:adjustRightInd w:val="0"/>
              <w:snapToGrid w:val="0"/>
              <w:spacing w:line="360" w:lineRule="auto"/>
              <w:ind w:firstLine="420" w:firstLineChars="200"/>
              <w:jc w:val="center"/>
              <w:rPr>
                <w:rFonts w:ascii="宋体" w:hAnsi="宋体"/>
                <w:szCs w:val="21"/>
              </w:rPr>
            </w:pPr>
          </w:p>
        </w:tc>
      </w:tr>
      <w:tr w14:paraId="18E2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0020648">
            <w:pPr>
              <w:adjustRightInd w:val="0"/>
              <w:snapToGrid w:val="0"/>
              <w:spacing w:line="360" w:lineRule="auto"/>
              <w:ind w:firstLine="420" w:firstLineChars="200"/>
              <w:jc w:val="center"/>
              <w:rPr>
                <w:rFonts w:ascii="宋体" w:hAnsi="宋体"/>
                <w:szCs w:val="21"/>
              </w:rPr>
            </w:pPr>
          </w:p>
        </w:tc>
        <w:tc>
          <w:tcPr>
            <w:tcW w:w="1081" w:type="dxa"/>
            <w:vAlign w:val="center"/>
          </w:tcPr>
          <w:p w14:paraId="237B3771">
            <w:pPr>
              <w:adjustRightInd w:val="0"/>
              <w:snapToGrid w:val="0"/>
              <w:spacing w:line="360" w:lineRule="auto"/>
              <w:ind w:firstLine="420" w:firstLineChars="200"/>
              <w:jc w:val="center"/>
              <w:rPr>
                <w:rFonts w:ascii="宋体" w:hAnsi="宋体"/>
                <w:szCs w:val="21"/>
              </w:rPr>
            </w:pPr>
          </w:p>
        </w:tc>
        <w:tc>
          <w:tcPr>
            <w:tcW w:w="3150" w:type="dxa"/>
            <w:vAlign w:val="center"/>
          </w:tcPr>
          <w:p w14:paraId="7DB6C3BA">
            <w:pPr>
              <w:adjustRightInd w:val="0"/>
              <w:snapToGrid w:val="0"/>
              <w:spacing w:line="360" w:lineRule="auto"/>
              <w:ind w:firstLine="420" w:firstLineChars="200"/>
              <w:jc w:val="center"/>
              <w:rPr>
                <w:rFonts w:ascii="宋体" w:hAnsi="宋体"/>
                <w:szCs w:val="21"/>
              </w:rPr>
            </w:pPr>
          </w:p>
        </w:tc>
        <w:tc>
          <w:tcPr>
            <w:tcW w:w="1172" w:type="dxa"/>
            <w:vAlign w:val="center"/>
          </w:tcPr>
          <w:p w14:paraId="12D50D32">
            <w:pPr>
              <w:adjustRightInd w:val="0"/>
              <w:snapToGrid w:val="0"/>
              <w:spacing w:line="360" w:lineRule="auto"/>
              <w:ind w:firstLine="420" w:firstLineChars="200"/>
              <w:jc w:val="center"/>
              <w:rPr>
                <w:rFonts w:ascii="宋体" w:hAnsi="宋体"/>
                <w:szCs w:val="21"/>
              </w:rPr>
            </w:pPr>
          </w:p>
        </w:tc>
        <w:tc>
          <w:tcPr>
            <w:tcW w:w="3055" w:type="dxa"/>
            <w:vAlign w:val="center"/>
          </w:tcPr>
          <w:p w14:paraId="43635858">
            <w:pPr>
              <w:adjustRightInd w:val="0"/>
              <w:snapToGrid w:val="0"/>
              <w:spacing w:line="360" w:lineRule="auto"/>
              <w:ind w:firstLine="420" w:firstLineChars="200"/>
              <w:jc w:val="center"/>
              <w:rPr>
                <w:rFonts w:ascii="宋体" w:hAnsi="宋体"/>
                <w:szCs w:val="21"/>
              </w:rPr>
            </w:pPr>
          </w:p>
        </w:tc>
      </w:tr>
    </w:tbl>
    <w:p w14:paraId="607431DA">
      <w:pPr>
        <w:adjustRightInd w:val="0"/>
        <w:snapToGrid w:val="0"/>
        <w:spacing w:line="360" w:lineRule="auto"/>
        <w:rPr>
          <w:rFonts w:ascii="宋体" w:hAnsi="宋体"/>
          <w:szCs w:val="21"/>
        </w:rPr>
      </w:pPr>
    </w:p>
    <w:p w14:paraId="3ACE6470">
      <w:pPr>
        <w:adjustRightInd w:val="0"/>
        <w:snapToGrid w:val="0"/>
        <w:spacing w:line="360" w:lineRule="auto"/>
        <w:ind w:firstLine="420" w:firstLineChars="200"/>
        <w:rPr>
          <w:rFonts w:ascii="宋体" w:hAnsi="宋体"/>
          <w:szCs w:val="21"/>
        </w:rPr>
      </w:pPr>
    </w:p>
    <w:p w14:paraId="6B051309">
      <w:pPr>
        <w:pStyle w:val="3"/>
        <w:rPr>
          <w:rFonts w:ascii="宋体" w:hAnsi="宋体"/>
          <w:sz w:val="21"/>
          <w:szCs w:val="21"/>
        </w:rPr>
      </w:pPr>
    </w:p>
    <w:p w14:paraId="2266B626">
      <w:pPr>
        <w:rPr>
          <w:rFonts w:ascii="宋体" w:hAnsi="宋体"/>
          <w:szCs w:val="21"/>
        </w:rPr>
      </w:pPr>
    </w:p>
    <w:p w14:paraId="7670CB79">
      <w:pPr>
        <w:pStyle w:val="3"/>
      </w:pPr>
    </w:p>
    <w:p w14:paraId="736CF445">
      <w:pPr>
        <w:adjustRightInd w:val="0"/>
        <w:snapToGrid w:val="0"/>
        <w:spacing w:line="360" w:lineRule="auto"/>
        <w:ind w:firstLine="420" w:firstLineChars="200"/>
        <w:rPr>
          <w:rFonts w:ascii="宋体" w:hAnsi="宋体"/>
          <w:szCs w:val="21"/>
        </w:rPr>
      </w:pPr>
    </w:p>
    <w:p w14:paraId="53D6CEBC">
      <w:pPr>
        <w:adjustRightInd w:val="0"/>
        <w:snapToGrid w:val="0"/>
        <w:spacing w:line="360" w:lineRule="auto"/>
        <w:ind w:firstLine="420" w:firstLineChars="200"/>
        <w:jc w:val="right"/>
        <w:rPr>
          <w:rFonts w:ascii="宋体" w:hAnsi="宋体"/>
          <w:szCs w:val="21"/>
        </w:rPr>
      </w:pPr>
      <w:r>
        <w:rPr>
          <w:rFonts w:hint="eastAsia" w:ascii="宋体" w:hAnsi="宋体"/>
          <w:szCs w:val="21"/>
        </w:rPr>
        <w:t>供应商：（盖供应商单位公章）</w:t>
      </w:r>
    </w:p>
    <w:p w14:paraId="67854E50">
      <w:pPr>
        <w:adjustRightInd w:val="0"/>
        <w:snapToGrid w:val="0"/>
        <w:spacing w:line="360" w:lineRule="auto"/>
        <w:ind w:firstLine="420" w:firstLineChars="200"/>
        <w:rPr>
          <w:rFonts w:ascii="宋体" w:hAnsi="宋体"/>
          <w:szCs w:val="21"/>
        </w:rPr>
      </w:pPr>
    </w:p>
    <w:p w14:paraId="4BC70DE0">
      <w:pPr>
        <w:adjustRightInd w:val="0"/>
        <w:snapToGrid w:val="0"/>
        <w:spacing w:line="360" w:lineRule="auto"/>
        <w:ind w:firstLine="420" w:firstLineChars="200"/>
        <w:jc w:val="right"/>
        <w:rPr>
          <w:rFonts w:ascii="宋体" w:hAnsi="宋体"/>
          <w:szCs w:val="21"/>
        </w:rPr>
      </w:pPr>
      <w:r>
        <w:rPr>
          <w:rFonts w:hint="eastAsia" w:ascii="宋体" w:hAnsi="宋体"/>
          <w:szCs w:val="21"/>
        </w:rPr>
        <w:t>法定代表人或其委托代理人：（签字或印章）</w:t>
      </w:r>
    </w:p>
    <w:p w14:paraId="09C5D731">
      <w:pPr>
        <w:adjustRightInd w:val="0"/>
        <w:snapToGrid w:val="0"/>
        <w:spacing w:line="360" w:lineRule="auto"/>
        <w:ind w:firstLine="420" w:firstLineChars="200"/>
        <w:rPr>
          <w:rFonts w:ascii="宋体" w:hAnsi="宋体"/>
          <w:szCs w:val="21"/>
        </w:rPr>
      </w:pPr>
    </w:p>
    <w:p w14:paraId="0A8A80F2">
      <w:pPr>
        <w:adjustRightInd w:val="0"/>
        <w:snapToGrid w:val="0"/>
        <w:spacing w:line="360" w:lineRule="auto"/>
        <w:ind w:firstLine="420" w:firstLineChars="200"/>
        <w:rPr>
          <w:rFonts w:ascii="宋体" w:hAnsi="宋体"/>
          <w:szCs w:val="21"/>
        </w:rPr>
      </w:pPr>
    </w:p>
    <w:p w14:paraId="38FC32DC">
      <w:pPr>
        <w:adjustRightInd w:val="0"/>
        <w:snapToGrid w:val="0"/>
        <w:spacing w:line="360" w:lineRule="auto"/>
        <w:ind w:firstLine="420" w:firstLineChars="200"/>
        <w:jc w:val="right"/>
        <w:rPr>
          <w:szCs w:val="21"/>
        </w:rPr>
      </w:pPr>
      <w:r>
        <w:rPr>
          <w:rFonts w:hint="eastAsia" w:ascii="宋体" w:hAnsi="宋体"/>
          <w:szCs w:val="21"/>
        </w:rPr>
        <w:t>日  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5A5E4A5A">
      <w:pPr>
        <w:adjustRightInd w:val="0"/>
        <w:snapToGrid w:val="0"/>
        <w:spacing w:line="360" w:lineRule="auto"/>
        <w:ind w:firstLine="420" w:firstLineChars="200"/>
        <w:rPr>
          <w:szCs w:val="21"/>
        </w:rPr>
      </w:pPr>
    </w:p>
    <w:p w14:paraId="77B326FD">
      <w:pPr>
        <w:adjustRightInd w:val="0"/>
        <w:snapToGrid w:val="0"/>
        <w:spacing w:line="360" w:lineRule="auto"/>
        <w:ind w:firstLine="420" w:firstLineChars="200"/>
        <w:rPr>
          <w:szCs w:val="21"/>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1D336-BD9F-47B7-89F2-996F272A6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07ACB12-A333-4EE3-B66C-C3CF5F87F99B}"/>
  </w:font>
  <w:font w:name="微软雅黑">
    <w:panose1 w:val="020B0503020204020204"/>
    <w:charset w:val="86"/>
    <w:family w:val="swiss"/>
    <w:pitch w:val="default"/>
    <w:sig w:usb0="80000287" w:usb1="2ACF3C50" w:usb2="00000016" w:usb3="00000000" w:csb0="0004001F" w:csb1="00000000"/>
    <w:embedRegular r:id="rId3" w:fontKey="{91452DAF-095A-4031-BCD9-E510437305FA}"/>
  </w:font>
  <w:font w:name="_x000B__x000C_">
    <w:altName w:val="方正公文小标宋"/>
    <w:panose1 w:val="00000000000000000000"/>
    <w:charset w:val="00"/>
    <w:family w:val="roman"/>
    <w:pitch w:val="default"/>
    <w:sig w:usb0="00000000" w:usb1="00000000" w:usb2="00000000" w:usb3="00000000" w:csb0="00040001" w:csb1="00000000"/>
    <w:embedRegular r:id="rId4" w:fontKey="{C51D85DA-9642-4737-B4A0-B898C4EB044A}"/>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DF267FF9-92E4-49DB-BE49-C7604AD514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5E3A">
    <w:pPr>
      <w:pStyle w:val="8"/>
    </w:pPr>
  </w:p>
  <w:p w14:paraId="52B10EA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6CEBDD">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U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6mbynRTKHlpx/f&#10;Tz8fTr++kX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5/tlPOgIAAHEEAAAOAAAAAAAAAAEAIAAAAB8BAABkcnMvZTJvRG9j&#10;LnhtbFBLBQYAAAAABgAGAFkBAADLBQAAAAA=&#10;">
              <v:fill on="f" focussize="0,0"/>
              <v:stroke on="f" weight="0.5pt"/>
              <v:imagedata o:title=""/>
              <o:lock v:ext="edit" aspectratio="f"/>
              <v:textbox inset="0mm,0mm,0mm,0mm" style="mso-fit-shape-to-text:t;">
                <w:txbxContent>
                  <w:p w14:paraId="3B6CEBDD">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067C">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14:paraId="1B2EA74B">
    <w:pPr>
      <w:pStyle w:val="8"/>
    </w:pPr>
  </w:p>
  <w:p w14:paraId="68ECDF31"/>
  <w:p w14:paraId="55F98E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8A65">
    <w:pPr>
      <w:pStyle w:val="8"/>
      <w:framePr w:wrap="around" w:vAnchor="text" w:hAnchor="margin" w:xAlign="center" w:y="1"/>
      <w:rPr>
        <w:rStyle w:val="16"/>
      </w:rPr>
    </w:pPr>
    <w:r>
      <w:fldChar w:fldCharType="begin"/>
    </w:r>
    <w:r>
      <w:rPr>
        <w:rStyle w:val="16"/>
      </w:rPr>
      <w:instrText xml:space="preserve">PAGE  </w:instrText>
    </w:r>
    <w:r>
      <w:fldChar w:fldCharType="end"/>
    </w:r>
  </w:p>
  <w:p w14:paraId="50EC04A1">
    <w:pPr>
      <w:pStyle w:val="8"/>
    </w:pPr>
  </w:p>
  <w:p w14:paraId="39009913"/>
  <w:p w14:paraId="5F11FE1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BBE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EAE7"/>
    <w:multiLevelType w:val="singleLevel"/>
    <w:tmpl w:val="8E66EAE7"/>
    <w:lvl w:ilvl="0" w:tentative="0">
      <w:start w:val="7"/>
      <w:numFmt w:val="chineseCounting"/>
      <w:suff w:val="nothing"/>
      <w:lvlText w:val="%1、"/>
      <w:lvlJc w:val="left"/>
      <w:rPr>
        <w:rFonts w:hint="eastAsia"/>
      </w:rPr>
    </w:lvl>
  </w:abstractNum>
  <w:abstractNum w:abstractNumId="1">
    <w:nsid w:val="90B4244B"/>
    <w:multiLevelType w:val="singleLevel"/>
    <w:tmpl w:val="90B4244B"/>
    <w:lvl w:ilvl="0" w:tentative="0">
      <w:start w:val="1"/>
      <w:numFmt w:val="chineseCounting"/>
      <w:suff w:val="nothing"/>
      <w:lvlText w:val="%1、"/>
      <w:lvlJc w:val="left"/>
      <w:rPr>
        <w:rFonts w:hint="eastAsia"/>
      </w:rPr>
    </w:lvl>
  </w:abstractNum>
  <w:abstractNum w:abstractNumId="2">
    <w:nsid w:val="97C30CC9"/>
    <w:multiLevelType w:val="singleLevel"/>
    <w:tmpl w:val="97C30CC9"/>
    <w:lvl w:ilvl="0" w:tentative="0">
      <w:start w:val="2"/>
      <w:numFmt w:val="chineseCounting"/>
      <w:suff w:val="space"/>
      <w:lvlText w:val="第%1章"/>
      <w:lvlJc w:val="left"/>
      <w:rPr>
        <w:rFonts w:hint="eastAsia"/>
      </w:rPr>
    </w:lvl>
  </w:abstractNum>
  <w:abstractNum w:abstractNumId="3">
    <w:nsid w:val="CD4C943F"/>
    <w:multiLevelType w:val="singleLevel"/>
    <w:tmpl w:val="CD4C943F"/>
    <w:lvl w:ilvl="0" w:tentative="0">
      <w:start w:val="1"/>
      <w:numFmt w:val="chineseCounting"/>
      <w:suff w:val="nothing"/>
      <w:lvlText w:val="%1、"/>
      <w:lvlJc w:val="left"/>
      <w:rPr>
        <w:rFonts w:hint="eastAsia"/>
      </w:rPr>
    </w:lvl>
  </w:abstractNum>
  <w:abstractNum w:abstractNumId="4">
    <w:nsid w:val="15B26FB5"/>
    <w:multiLevelType w:val="singleLevel"/>
    <w:tmpl w:val="15B26FB5"/>
    <w:lvl w:ilvl="0" w:tentative="0">
      <w:start w:val="1"/>
      <w:numFmt w:val="decimal"/>
      <w:suff w:val="nothing"/>
      <w:lvlText w:val="（%1）"/>
      <w:lvlJc w:val="left"/>
      <w:pPr>
        <w:ind w:left="70"/>
      </w:pPr>
    </w:lvl>
  </w:abstractNum>
  <w:abstractNum w:abstractNumId="5">
    <w:nsid w:val="1A4A02AE"/>
    <w:multiLevelType w:val="singleLevel"/>
    <w:tmpl w:val="1A4A02AE"/>
    <w:lvl w:ilvl="0" w:tentative="0">
      <w:start w:val="1"/>
      <w:numFmt w:val="decimal"/>
      <w:lvlText w:val="%1."/>
      <w:lvlJc w:val="left"/>
      <w:pPr>
        <w:tabs>
          <w:tab w:val="left" w:pos="312"/>
        </w:tabs>
      </w:pPr>
    </w:lvl>
  </w:abstractNum>
  <w:abstractNum w:abstractNumId="6">
    <w:nsid w:val="28C1339B"/>
    <w:multiLevelType w:val="multilevel"/>
    <w:tmpl w:val="28C1339B"/>
    <w:lvl w:ilvl="0" w:tentative="0">
      <w:start w:val="1"/>
      <w:numFmt w:val="decimal"/>
      <w:pStyle w:val="34"/>
      <w:lvlText w:val="%1."/>
      <w:lvlJc w:val="left"/>
      <w:pPr>
        <w:ind w:left="425" w:hanging="425"/>
      </w:pPr>
      <w:rPr>
        <w:rFonts w:hint="eastAsia"/>
      </w:rPr>
    </w:lvl>
    <w:lvl w:ilvl="1" w:tentative="0">
      <w:start w:val="1"/>
      <w:numFmt w:val="decimal"/>
      <w:lvlText w:val="%1.%2."/>
      <w:lvlJc w:val="left"/>
      <w:pPr>
        <w:ind w:left="284"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lvlText w:val="%1.%2.%3."/>
      <w:lvlJc w:val="left"/>
      <w:pPr>
        <w:ind w:left="284"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lvlText w:val="%1.%2.%3.%4."/>
      <w:lvlJc w:val="left"/>
      <w:pPr>
        <w:ind w:left="284"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57BC311"/>
    <w:multiLevelType w:val="singleLevel"/>
    <w:tmpl w:val="557BC311"/>
    <w:lvl w:ilvl="0" w:tentative="0">
      <w:start w:val="1"/>
      <w:numFmt w:val="decimal"/>
      <w:suff w:val="nothing"/>
      <w:lvlText w:val="（%1）"/>
      <w:lvlJc w:val="left"/>
      <w:pPr>
        <w:ind w:left="70"/>
      </w:p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mQwZTMxNGEzMDQ3NzM2MTFhZmUyYWE0NDdhZGEifQ=="/>
  </w:docVars>
  <w:rsids>
    <w:rsidRoot w:val="005B079D"/>
    <w:rsid w:val="000C7157"/>
    <w:rsid w:val="0038140B"/>
    <w:rsid w:val="003F018D"/>
    <w:rsid w:val="00405979"/>
    <w:rsid w:val="005A5480"/>
    <w:rsid w:val="005B079D"/>
    <w:rsid w:val="005D2FBC"/>
    <w:rsid w:val="00647A3D"/>
    <w:rsid w:val="007A6DF1"/>
    <w:rsid w:val="007B57ED"/>
    <w:rsid w:val="007E1798"/>
    <w:rsid w:val="009417CB"/>
    <w:rsid w:val="00C81993"/>
    <w:rsid w:val="00FA5E3B"/>
    <w:rsid w:val="00FD5FB0"/>
    <w:rsid w:val="01193F21"/>
    <w:rsid w:val="013E29D4"/>
    <w:rsid w:val="01B31E7D"/>
    <w:rsid w:val="02731E4C"/>
    <w:rsid w:val="02895041"/>
    <w:rsid w:val="028C4E9F"/>
    <w:rsid w:val="03762F3D"/>
    <w:rsid w:val="0397607D"/>
    <w:rsid w:val="03A80C9D"/>
    <w:rsid w:val="04806B11"/>
    <w:rsid w:val="048325E3"/>
    <w:rsid w:val="058C73C0"/>
    <w:rsid w:val="066E5B30"/>
    <w:rsid w:val="06CB0518"/>
    <w:rsid w:val="073E5A8B"/>
    <w:rsid w:val="099A2423"/>
    <w:rsid w:val="09A65898"/>
    <w:rsid w:val="0A0A4C21"/>
    <w:rsid w:val="0A634F0B"/>
    <w:rsid w:val="0A647111"/>
    <w:rsid w:val="0A717EAC"/>
    <w:rsid w:val="0B1953EE"/>
    <w:rsid w:val="0B996E37"/>
    <w:rsid w:val="0C9E69C8"/>
    <w:rsid w:val="0D5A0AF7"/>
    <w:rsid w:val="0D6E2A31"/>
    <w:rsid w:val="0E287DCB"/>
    <w:rsid w:val="0E2F5830"/>
    <w:rsid w:val="0EEE01E8"/>
    <w:rsid w:val="0F6B02EB"/>
    <w:rsid w:val="0F810D06"/>
    <w:rsid w:val="0F9E1350"/>
    <w:rsid w:val="10076B03"/>
    <w:rsid w:val="100D40F2"/>
    <w:rsid w:val="100E76C7"/>
    <w:rsid w:val="104D01F0"/>
    <w:rsid w:val="10797237"/>
    <w:rsid w:val="1107617E"/>
    <w:rsid w:val="118C4759"/>
    <w:rsid w:val="1198193E"/>
    <w:rsid w:val="138403CC"/>
    <w:rsid w:val="147312B2"/>
    <w:rsid w:val="172A3039"/>
    <w:rsid w:val="1768076A"/>
    <w:rsid w:val="1787048B"/>
    <w:rsid w:val="19310B54"/>
    <w:rsid w:val="1A8A0B17"/>
    <w:rsid w:val="1AA26C50"/>
    <w:rsid w:val="1AB570BD"/>
    <w:rsid w:val="1B267FBB"/>
    <w:rsid w:val="1BD31F03"/>
    <w:rsid w:val="1BE94C14"/>
    <w:rsid w:val="1C2E35CB"/>
    <w:rsid w:val="1E4E1622"/>
    <w:rsid w:val="1E5935A7"/>
    <w:rsid w:val="1EAF001D"/>
    <w:rsid w:val="1FED1452"/>
    <w:rsid w:val="203B1E13"/>
    <w:rsid w:val="20C718F8"/>
    <w:rsid w:val="2208041A"/>
    <w:rsid w:val="228F5837"/>
    <w:rsid w:val="24696EBE"/>
    <w:rsid w:val="257A33E6"/>
    <w:rsid w:val="2689097A"/>
    <w:rsid w:val="282846A3"/>
    <w:rsid w:val="28687E65"/>
    <w:rsid w:val="29193E2B"/>
    <w:rsid w:val="29265C8F"/>
    <w:rsid w:val="296C2B9C"/>
    <w:rsid w:val="2A1E28C6"/>
    <w:rsid w:val="2A8E4AE5"/>
    <w:rsid w:val="2AAC1AFF"/>
    <w:rsid w:val="2B2C2492"/>
    <w:rsid w:val="2B3A4058"/>
    <w:rsid w:val="2C020367"/>
    <w:rsid w:val="2E624B42"/>
    <w:rsid w:val="2E813A2E"/>
    <w:rsid w:val="2F2D5A4F"/>
    <w:rsid w:val="2FF97F9C"/>
    <w:rsid w:val="30731B9F"/>
    <w:rsid w:val="3086717B"/>
    <w:rsid w:val="31252673"/>
    <w:rsid w:val="31880C30"/>
    <w:rsid w:val="321445A7"/>
    <w:rsid w:val="32F15F83"/>
    <w:rsid w:val="33634D15"/>
    <w:rsid w:val="341B22D8"/>
    <w:rsid w:val="34217095"/>
    <w:rsid w:val="34A83397"/>
    <w:rsid w:val="357913E5"/>
    <w:rsid w:val="35CB596A"/>
    <w:rsid w:val="35F069AE"/>
    <w:rsid w:val="36BD4AD5"/>
    <w:rsid w:val="37B307BF"/>
    <w:rsid w:val="381543F3"/>
    <w:rsid w:val="38612FED"/>
    <w:rsid w:val="3A2A4F7A"/>
    <w:rsid w:val="3A575643"/>
    <w:rsid w:val="3AD815B7"/>
    <w:rsid w:val="3C1C763F"/>
    <w:rsid w:val="3D6A38DF"/>
    <w:rsid w:val="3DE74F30"/>
    <w:rsid w:val="3E2679D9"/>
    <w:rsid w:val="3E862B51"/>
    <w:rsid w:val="3F620D12"/>
    <w:rsid w:val="3FE91D52"/>
    <w:rsid w:val="3FEE07F8"/>
    <w:rsid w:val="402D2C54"/>
    <w:rsid w:val="405B5C47"/>
    <w:rsid w:val="4145641D"/>
    <w:rsid w:val="416074D3"/>
    <w:rsid w:val="41D659E7"/>
    <w:rsid w:val="41E901AC"/>
    <w:rsid w:val="4297589E"/>
    <w:rsid w:val="42C81DCF"/>
    <w:rsid w:val="432C6CEB"/>
    <w:rsid w:val="433A4C90"/>
    <w:rsid w:val="43E97E5F"/>
    <w:rsid w:val="441F3676"/>
    <w:rsid w:val="457E6487"/>
    <w:rsid w:val="45D16BF2"/>
    <w:rsid w:val="47724D12"/>
    <w:rsid w:val="479E11CE"/>
    <w:rsid w:val="47C307BC"/>
    <w:rsid w:val="49134B75"/>
    <w:rsid w:val="497E0E3E"/>
    <w:rsid w:val="49980419"/>
    <w:rsid w:val="4AA042F5"/>
    <w:rsid w:val="4B013AD5"/>
    <w:rsid w:val="4BF3740D"/>
    <w:rsid w:val="4C7C1BA3"/>
    <w:rsid w:val="4C923579"/>
    <w:rsid w:val="4CB66725"/>
    <w:rsid w:val="4CD86AB8"/>
    <w:rsid w:val="4D3A41C8"/>
    <w:rsid w:val="4DA608A6"/>
    <w:rsid w:val="4DA70DD0"/>
    <w:rsid w:val="4DE21F33"/>
    <w:rsid w:val="4E71281B"/>
    <w:rsid w:val="4F9D18F3"/>
    <w:rsid w:val="50723740"/>
    <w:rsid w:val="508411CF"/>
    <w:rsid w:val="51CB0999"/>
    <w:rsid w:val="521C429C"/>
    <w:rsid w:val="52AC274C"/>
    <w:rsid w:val="52CB6777"/>
    <w:rsid w:val="53601EC7"/>
    <w:rsid w:val="537D0084"/>
    <w:rsid w:val="53AC0356"/>
    <w:rsid w:val="53BC0D04"/>
    <w:rsid w:val="53BF7BB2"/>
    <w:rsid w:val="53CF0730"/>
    <w:rsid w:val="54067E36"/>
    <w:rsid w:val="544B0D60"/>
    <w:rsid w:val="546B1FBF"/>
    <w:rsid w:val="556559AC"/>
    <w:rsid w:val="556B3031"/>
    <w:rsid w:val="55797028"/>
    <w:rsid w:val="56CB4F97"/>
    <w:rsid w:val="57C30AFC"/>
    <w:rsid w:val="586E079B"/>
    <w:rsid w:val="58B97866"/>
    <w:rsid w:val="58F7498F"/>
    <w:rsid w:val="596A5D4A"/>
    <w:rsid w:val="5B154948"/>
    <w:rsid w:val="5B5639C9"/>
    <w:rsid w:val="5BC0193C"/>
    <w:rsid w:val="5BF154A0"/>
    <w:rsid w:val="5C910A31"/>
    <w:rsid w:val="5C95407D"/>
    <w:rsid w:val="5D0C042E"/>
    <w:rsid w:val="5E023697"/>
    <w:rsid w:val="5F102F7F"/>
    <w:rsid w:val="5F7A755A"/>
    <w:rsid w:val="61736957"/>
    <w:rsid w:val="62073FBC"/>
    <w:rsid w:val="622C5484"/>
    <w:rsid w:val="6280132C"/>
    <w:rsid w:val="64624BAF"/>
    <w:rsid w:val="64CE3C75"/>
    <w:rsid w:val="650A3F14"/>
    <w:rsid w:val="658F5141"/>
    <w:rsid w:val="65E63500"/>
    <w:rsid w:val="6712276E"/>
    <w:rsid w:val="67550FD9"/>
    <w:rsid w:val="686C4E79"/>
    <w:rsid w:val="68C65C96"/>
    <w:rsid w:val="695847ED"/>
    <w:rsid w:val="6ABF177A"/>
    <w:rsid w:val="6B6A6CD0"/>
    <w:rsid w:val="6CC92C88"/>
    <w:rsid w:val="6D1E3428"/>
    <w:rsid w:val="6D7777CF"/>
    <w:rsid w:val="6DD36C97"/>
    <w:rsid w:val="6DD4392E"/>
    <w:rsid w:val="6DEE183F"/>
    <w:rsid w:val="6E0D19A1"/>
    <w:rsid w:val="6E5024FA"/>
    <w:rsid w:val="6F9365C6"/>
    <w:rsid w:val="700970F9"/>
    <w:rsid w:val="7030352D"/>
    <w:rsid w:val="7036635E"/>
    <w:rsid w:val="70425E72"/>
    <w:rsid w:val="714C7EEE"/>
    <w:rsid w:val="71BA7CE8"/>
    <w:rsid w:val="732F476E"/>
    <w:rsid w:val="762229CE"/>
    <w:rsid w:val="76BD2E74"/>
    <w:rsid w:val="76FB13B4"/>
    <w:rsid w:val="773E6601"/>
    <w:rsid w:val="7752146A"/>
    <w:rsid w:val="77D01B55"/>
    <w:rsid w:val="77FE6B23"/>
    <w:rsid w:val="78307FCA"/>
    <w:rsid w:val="79B14F86"/>
    <w:rsid w:val="7B233016"/>
    <w:rsid w:val="7BDA1655"/>
    <w:rsid w:val="7C634F0E"/>
    <w:rsid w:val="7CEE2360"/>
    <w:rsid w:val="7D0D160C"/>
    <w:rsid w:val="7E437985"/>
    <w:rsid w:val="7FCA2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semiHidden/>
    <w:qFormat/>
    <w:uiPriority w:val="0"/>
    <w:rPr>
      <w:rFonts w:ascii="Arial" w:hAnsi="Arial" w:eastAsia="黑体" w:cs="Arial"/>
      <w:sz w:val="20"/>
      <w:szCs w:val="20"/>
    </w:rPr>
  </w:style>
  <w:style w:type="paragraph" w:styleId="6">
    <w:name w:val="Body Text"/>
    <w:basedOn w:val="1"/>
    <w:autoRedefine/>
    <w:qFormat/>
    <w:uiPriority w:val="0"/>
    <w:pPr>
      <w:spacing w:after="120"/>
    </w:pPr>
    <w:rPr>
      <w:kern w:val="0"/>
      <w:sz w:val="20"/>
    </w:rPr>
  </w:style>
  <w:style w:type="paragraph" w:styleId="7">
    <w:name w:val="Balloon Text"/>
    <w:basedOn w:val="1"/>
    <w:link w:val="33"/>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0">
    <w:name w:val="Body Text 2"/>
    <w:basedOn w:val="1"/>
    <w:autoRedefine/>
    <w:qFormat/>
    <w:uiPriority w:val="0"/>
    <w:pPr>
      <w:spacing w:after="120" w:line="480" w:lineRule="auto"/>
    </w:pPr>
    <w:rPr>
      <w:szCs w:val="20"/>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9">
    <w:name w:val="font61"/>
    <w:basedOn w:val="14"/>
    <w:autoRedefine/>
    <w:qFormat/>
    <w:uiPriority w:val="0"/>
    <w:rPr>
      <w:rFonts w:hint="eastAsia" w:ascii="宋体" w:hAnsi="宋体" w:eastAsia="宋体" w:cs="宋体"/>
      <w:color w:val="000000"/>
      <w:sz w:val="18"/>
      <w:szCs w:val="18"/>
      <w:u w:val="none"/>
    </w:rPr>
  </w:style>
  <w:style w:type="character" w:customStyle="1" w:styleId="20">
    <w:name w:val="font112"/>
    <w:basedOn w:val="14"/>
    <w:autoRedefine/>
    <w:qFormat/>
    <w:uiPriority w:val="0"/>
    <w:rPr>
      <w:rFonts w:hint="default" w:ascii="Times New Roman" w:hAnsi="Times New Roman" w:cs="Times New Roman"/>
      <w:color w:val="000000"/>
      <w:sz w:val="18"/>
      <w:szCs w:val="18"/>
      <w:u w:val="none"/>
    </w:rPr>
  </w:style>
  <w:style w:type="character" w:customStyle="1" w:styleId="21">
    <w:name w:val="font121"/>
    <w:basedOn w:val="14"/>
    <w:autoRedefine/>
    <w:qFormat/>
    <w:uiPriority w:val="0"/>
    <w:rPr>
      <w:rFonts w:hint="default" w:ascii="Times New Roman" w:hAnsi="Times New Roman" w:cs="Times New Roman"/>
      <w:color w:val="000000"/>
      <w:sz w:val="18"/>
      <w:szCs w:val="18"/>
      <w:u w:val="none"/>
    </w:rPr>
  </w:style>
  <w:style w:type="character" w:customStyle="1" w:styleId="22">
    <w:name w:val="font11"/>
    <w:basedOn w:val="14"/>
    <w:autoRedefine/>
    <w:qFormat/>
    <w:uiPriority w:val="0"/>
    <w:rPr>
      <w:rFonts w:hint="eastAsia" w:ascii="宋体" w:hAnsi="宋体" w:eastAsia="宋体" w:cs="宋体"/>
      <w:b/>
      <w:bCs/>
      <w:color w:val="000000"/>
      <w:sz w:val="24"/>
      <w:szCs w:val="24"/>
      <w:u w:val="none"/>
    </w:rPr>
  </w:style>
  <w:style w:type="character" w:customStyle="1" w:styleId="23">
    <w:name w:val="font21"/>
    <w:basedOn w:val="14"/>
    <w:autoRedefine/>
    <w:qFormat/>
    <w:uiPriority w:val="0"/>
    <w:rPr>
      <w:rFonts w:hint="eastAsia" w:ascii="宋体" w:hAnsi="宋体" w:eastAsia="宋体" w:cs="宋体"/>
      <w:b/>
      <w:bCs/>
      <w:color w:val="000000"/>
      <w:sz w:val="18"/>
      <w:szCs w:val="18"/>
      <w:u w:val="none"/>
    </w:rPr>
  </w:style>
  <w:style w:type="character" w:customStyle="1" w:styleId="24">
    <w:name w:val="font31"/>
    <w:basedOn w:val="14"/>
    <w:autoRedefine/>
    <w:qFormat/>
    <w:uiPriority w:val="0"/>
    <w:rPr>
      <w:rFonts w:hint="eastAsia" w:ascii="宋体" w:hAnsi="宋体" w:eastAsia="宋体" w:cs="宋体"/>
      <w:color w:val="000000"/>
      <w:sz w:val="18"/>
      <w:szCs w:val="18"/>
      <w:u w:val="none"/>
    </w:rPr>
  </w:style>
  <w:style w:type="character" w:customStyle="1" w:styleId="25">
    <w:name w:val="font41"/>
    <w:basedOn w:val="14"/>
    <w:autoRedefine/>
    <w:qFormat/>
    <w:uiPriority w:val="0"/>
    <w:rPr>
      <w:rFonts w:hint="eastAsia" w:ascii="宋体" w:hAnsi="宋体" w:eastAsia="宋体" w:cs="宋体"/>
      <w:color w:val="000000"/>
      <w:sz w:val="20"/>
      <w:szCs w:val="20"/>
      <w:u w:val="none"/>
    </w:rPr>
  </w:style>
  <w:style w:type="character" w:customStyle="1" w:styleId="26">
    <w:name w:val="font51"/>
    <w:basedOn w:val="14"/>
    <w:autoRedefine/>
    <w:qFormat/>
    <w:uiPriority w:val="0"/>
    <w:rPr>
      <w:rFonts w:hint="eastAsia" w:ascii="宋体" w:hAnsi="宋体" w:eastAsia="宋体" w:cs="宋体"/>
      <w:color w:val="000000"/>
      <w:sz w:val="22"/>
      <w:szCs w:val="22"/>
      <w:u w:val="none"/>
    </w:rPr>
  </w:style>
  <w:style w:type="paragraph" w:customStyle="1" w:styleId="27">
    <w:name w:val="style1"/>
    <w:basedOn w:val="1"/>
    <w:autoRedefine/>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8">
    <w:name w:val="图表题注"/>
    <w:basedOn w:val="5"/>
    <w:next w:val="4"/>
    <w:autoRedefine/>
    <w:qFormat/>
    <w:uiPriority w:val="0"/>
    <w:pPr>
      <w:spacing w:before="152" w:after="160"/>
      <w:jc w:val="center"/>
    </w:pPr>
    <w:rPr>
      <w:rFonts w:ascii="Times New Roman" w:hAnsi="Times New Roman" w:eastAsia="宋体" w:cs="Times New Roman"/>
      <w:sz w:val="21"/>
    </w:rPr>
  </w:style>
  <w:style w:type="paragraph" w:customStyle="1" w:styleId="29">
    <w:name w:val="Char1 Char Char Char"/>
    <w:basedOn w:val="1"/>
    <w:autoRedefine/>
    <w:qFormat/>
    <w:uiPriority w:val="0"/>
  </w:style>
  <w:style w:type="paragraph" w:customStyle="1" w:styleId="30">
    <w:name w:val="List Paragraph2"/>
    <w:basedOn w:val="1"/>
    <w:autoRedefine/>
    <w:qFormat/>
    <w:uiPriority w:val="99"/>
  </w:style>
  <w:style w:type="paragraph" w:customStyle="1" w:styleId="31">
    <w:name w:val="Table Text"/>
    <w:basedOn w:val="1"/>
    <w:semiHidden/>
    <w:qFormat/>
    <w:uiPriority w:val="0"/>
    <w:rPr>
      <w:rFonts w:ascii="宋体" w:hAnsi="宋体" w:cs="宋体"/>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框文本 Char"/>
    <w:basedOn w:val="14"/>
    <w:link w:val="7"/>
    <w:qFormat/>
    <w:uiPriority w:val="0"/>
    <w:rPr>
      <w:kern w:val="2"/>
      <w:sz w:val="18"/>
      <w:szCs w:val="18"/>
    </w:rPr>
  </w:style>
  <w:style w:type="paragraph" w:customStyle="1" w:styleId="34">
    <w:name w:val="1"/>
    <w:basedOn w:val="1"/>
    <w:autoRedefine/>
    <w:qFormat/>
    <w:uiPriority w:val="0"/>
    <w:pPr>
      <w:numPr>
        <w:ilvl w:val="0"/>
        <w:numId w:val="1"/>
      </w:numPr>
      <w:spacing w:line="360" w:lineRule="auto"/>
      <w:jc w:val="left"/>
    </w:pPr>
    <w:rPr>
      <w:rFonts w:ascii="宋体" w:hAnsi="宋体" w:eastAsia="宋体" w:cs="Times New Roman"/>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16249</Words>
  <Characters>16542</Characters>
  <Lines>40</Lines>
  <Paragraphs>11</Paragraphs>
  <TotalTime>3</TotalTime>
  <ScaleCrop>false</ScaleCrop>
  <LinksUpToDate>false</LinksUpToDate>
  <CharactersWithSpaces>16890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2024-07-11T14:40:00Z</dcterms:created>
  <dc:creator>Administrator</dc:creator>
  <cp:lastModifiedBy>薛和煦的春风</cp:lastModifiedBy>
  <cp:lastPrinted>2024-01-23T09:24:00Z</cp:lastPrinted>
  <dcterms:modified xsi:type="dcterms:W3CDTF">2025-12-02T09:06:29Z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BA844B1002354F91A3B43D731AA45949_13</vt:lpwstr>
  </property>
  <property fmtid="{D5CDD505-2E9C-101B-9397-08002B2CF9AE}" pid="4" name="KSOTemplateDocerSaveRecord">
    <vt:lpwstr>eyJoZGlkIjoiYTVjYmQwZTMxNGEzMDQ3NzM2MTFhZmUyYWE0NDdhZGEiLCJ1c2VySWQiOiIxNjY0Nzk4MjIxIn0=</vt:lpwstr>
  </property>
</Properties>
</file>