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19FB53">
      <w:pPr>
        <w:spacing w:line="352" w:lineRule="auto"/>
        <w:rPr>
          <w:rFonts w:ascii="Arial"/>
          <w:sz w:val="21"/>
          <w:highlight w:val="none"/>
        </w:rPr>
      </w:pPr>
    </w:p>
    <w:p w14:paraId="693350C9">
      <w:pPr>
        <w:spacing w:line="247" w:lineRule="auto"/>
        <w:rPr>
          <w:rFonts w:ascii="Arial"/>
          <w:sz w:val="21"/>
          <w:highlight w:val="none"/>
        </w:rPr>
      </w:pPr>
    </w:p>
    <w:p w14:paraId="0614E990">
      <w:pPr>
        <w:spacing w:line="247" w:lineRule="auto"/>
        <w:rPr>
          <w:rFonts w:ascii="Arial"/>
          <w:sz w:val="21"/>
          <w:highlight w:val="none"/>
        </w:rPr>
      </w:pPr>
    </w:p>
    <w:p w14:paraId="4845ECBF">
      <w:pPr>
        <w:spacing w:line="247" w:lineRule="auto"/>
        <w:rPr>
          <w:rFonts w:ascii="Arial"/>
          <w:sz w:val="21"/>
          <w:highlight w:val="none"/>
        </w:rPr>
      </w:pPr>
    </w:p>
    <w:p w14:paraId="1410A236">
      <w:pPr>
        <w:spacing w:line="247" w:lineRule="auto"/>
        <w:rPr>
          <w:rFonts w:ascii="Arial"/>
          <w:sz w:val="21"/>
          <w:highlight w:val="none"/>
        </w:rPr>
      </w:pPr>
    </w:p>
    <w:p w14:paraId="20870D7E">
      <w:pPr>
        <w:spacing w:line="247" w:lineRule="auto"/>
        <w:rPr>
          <w:rFonts w:ascii="Arial"/>
          <w:sz w:val="21"/>
          <w:highlight w:val="none"/>
        </w:rPr>
      </w:pPr>
    </w:p>
    <w:p w14:paraId="2F67FB77">
      <w:pPr>
        <w:spacing w:line="247" w:lineRule="auto"/>
        <w:rPr>
          <w:rFonts w:ascii="Arial"/>
          <w:sz w:val="21"/>
          <w:highlight w:val="none"/>
        </w:rPr>
      </w:pPr>
    </w:p>
    <w:p w14:paraId="6CEF21F5">
      <w:pPr>
        <w:spacing w:line="247" w:lineRule="auto"/>
        <w:rPr>
          <w:rFonts w:ascii="Arial"/>
          <w:sz w:val="21"/>
          <w:highlight w:val="none"/>
        </w:rPr>
      </w:pPr>
    </w:p>
    <w:p w14:paraId="29121AC5">
      <w:pPr>
        <w:spacing w:line="247" w:lineRule="auto"/>
        <w:rPr>
          <w:rFonts w:ascii="Arial"/>
          <w:sz w:val="21"/>
          <w:highlight w:val="none"/>
        </w:rPr>
      </w:pPr>
    </w:p>
    <w:p w14:paraId="5A1CAC3A">
      <w:pPr>
        <w:pageBreakBefore w:val="0"/>
        <w:shd w:val="clear"/>
        <w:kinsoku/>
        <w:wordWrap/>
        <w:overflowPunct/>
        <w:autoSpaceDE/>
        <w:autoSpaceDN/>
        <w:bidi w:val="0"/>
        <w:adjustRightInd w:val="0"/>
        <w:snapToGrid w:val="0"/>
        <w:spacing w:before="528" w:beforeLines="169" w:beforeAutospacing="0" w:line="360" w:lineRule="auto"/>
        <w:ind w:firstLine="2880" w:firstLineChars="400"/>
        <w:jc w:val="both"/>
        <w:textAlignment w:val="auto"/>
        <w:rPr>
          <w:rFonts w:hint="eastAsia" w:ascii="微软雅黑" w:hAnsi="微软雅黑" w:eastAsia="微软雅黑" w:cs="微软雅黑"/>
          <w:sz w:val="72"/>
          <w:szCs w:val="72"/>
          <w:highlight w:val="none"/>
        </w:rPr>
      </w:pPr>
      <w:r>
        <w:rPr>
          <w:rFonts w:hint="eastAsia" w:ascii="微软雅黑" w:hAnsi="微软雅黑" w:eastAsia="微软雅黑" w:cs="微软雅黑"/>
          <w:sz w:val="72"/>
          <w:szCs w:val="72"/>
          <w:highlight w:val="none"/>
        </w:rPr>
        <w:t>采</w:t>
      </w:r>
      <w:r>
        <w:rPr>
          <w:rFonts w:hint="eastAsia" w:ascii="微软雅黑" w:hAnsi="微软雅黑" w:eastAsia="微软雅黑" w:cs="微软雅黑"/>
          <w:sz w:val="72"/>
          <w:szCs w:val="72"/>
          <w:highlight w:val="none"/>
          <w:lang w:val="en-US" w:eastAsia="zh-CN"/>
        </w:rPr>
        <w:t xml:space="preserve"> </w:t>
      </w:r>
      <w:r>
        <w:rPr>
          <w:rFonts w:hint="eastAsia" w:ascii="微软雅黑" w:hAnsi="微软雅黑" w:eastAsia="微软雅黑" w:cs="微软雅黑"/>
          <w:sz w:val="72"/>
          <w:szCs w:val="72"/>
          <w:highlight w:val="none"/>
        </w:rPr>
        <w:t>购</w:t>
      </w:r>
      <w:r>
        <w:rPr>
          <w:rFonts w:hint="eastAsia" w:ascii="微软雅黑" w:hAnsi="微软雅黑" w:eastAsia="微软雅黑" w:cs="微软雅黑"/>
          <w:sz w:val="72"/>
          <w:szCs w:val="72"/>
          <w:highlight w:val="none"/>
          <w:lang w:val="en-US" w:eastAsia="zh-CN"/>
        </w:rPr>
        <w:t xml:space="preserve"> </w:t>
      </w:r>
      <w:r>
        <w:rPr>
          <w:rFonts w:hint="eastAsia" w:ascii="微软雅黑" w:hAnsi="微软雅黑" w:eastAsia="微软雅黑" w:cs="微软雅黑"/>
          <w:sz w:val="72"/>
          <w:szCs w:val="72"/>
          <w:highlight w:val="none"/>
        </w:rPr>
        <w:t>文</w:t>
      </w:r>
      <w:r>
        <w:rPr>
          <w:rFonts w:hint="eastAsia" w:ascii="微软雅黑" w:hAnsi="微软雅黑" w:eastAsia="微软雅黑" w:cs="微软雅黑"/>
          <w:sz w:val="72"/>
          <w:szCs w:val="72"/>
          <w:highlight w:val="none"/>
          <w:lang w:val="en-US" w:eastAsia="zh-CN"/>
        </w:rPr>
        <w:t xml:space="preserve"> </w:t>
      </w:r>
      <w:r>
        <w:rPr>
          <w:rFonts w:hint="eastAsia" w:ascii="微软雅黑" w:hAnsi="微软雅黑" w:eastAsia="微软雅黑" w:cs="微软雅黑"/>
          <w:sz w:val="72"/>
          <w:szCs w:val="72"/>
          <w:highlight w:val="none"/>
        </w:rPr>
        <w:t>件</w:t>
      </w:r>
      <w:bookmarkStart w:id="93" w:name="_GoBack"/>
      <w:bookmarkEnd w:id="93"/>
    </w:p>
    <w:p w14:paraId="5A645656">
      <w:pPr>
        <w:pageBreakBefore w:val="0"/>
        <w:shd w:val="clear"/>
        <w:kinsoku/>
        <w:wordWrap/>
        <w:overflowPunct/>
        <w:autoSpaceDE/>
        <w:autoSpaceDN/>
        <w:bidi w:val="0"/>
        <w:adjustRightInd w:val="0"/>
        <w:snapToGrid w:val="0"/>
        <w:spacing w:line="360" w:lineRule="auto"/>
        <w:textAlignment w:val="auto"/>
        <w:rPr>
          <w:rFonts w:ascii="仿宋" w:hAnsi="仿宋" w:eastAsia="仿宋" w:cs="仿宋"/>
          <w:sz w:val="28"/>
          <w:szCs w:val="28"/>
          <w:highlight w:val="none"/>
        </w:rPr>
      </w:pPr>
    </w:p>
    <w:p w14:paraId="6197DC68">
      <w:pPr>
        <w:pageBreakBefore w:val="0"/>
        <w:shd w:val="clear"/>
        <w:kinsoku/>
        <w:wordWrap/>
        <w:overflowPunct/>
        <w:autoSpaceDE/>
        <w:autoSpaceDN/>
        <w:bidi w:val="0"/>
        <w:adjustRightInd w:val="0"/>
        <w:snapToGrid w:val="0"/>
        <w:spacing w:line="360" w:lineRule="auto"/>
        <w:textAlignment w:val="auto"/>
        <w:rPr>
          <w:rFonts w:ascii="仿宋" w:hAnsi="仿宋" w:eastAsia="仿宋" w:cs="仿宋"/>
          <w:sz w:val="28"/>
          <w:szCs w:val="28"/>
          <w:highlight w:val="none"/>
        </w:rPr>
      </w:pPr>
    </w:p>
    <w:p w14:paraId="4C39A685">
      <w:pPr>
        <w:pageBreakBefore w:val="0"/>
        <w:shd w:val="clear"/>
        <w:kinsoku/>
        <w:wordWrap/>
        <w:overflowPunct/>
        <w:autoSpaceDE/>
        <w:autoSpaceDN/>
        <w:bidi w:val="0"/>
        <w:adjustRightInd w:val="0"/>
        <w:snapToGrid w:val="0"/>
        <w:spacing w:line="360" w:lineRule="auto"/>
        <w:ind w:firstLine="560" w:firstLineChars="200"/>
        <w:textAlignment w:val="auto"/>
        <w:rPr>
          <w:rFonts w:ascii="仿宋" w:hAnsi="仿宋" w:eastAsia="仿宋" w:cs="仿宋"/>
          <w:sz w:val="28"/>
          <w:szCs w:val="28"/>
          <w:highlight w:val="none"/>
        </w:rPr>
      </w:pPr>
    </w:p>
    <w:p w14:paraId="3358F1B1">
      <w:pPr>
        <w:pageBreakBefore w:val="0"/>
        <w:shd w:val="clear"/>
        <w:kinsoku/>
        <w:wordWrap/>
        <w:overflowPunct/>
        <w:autoSpaceDE/>
        <w:autoSpaceDN/>
        <w:bidi w:val="0"/>
        <w:adjustRightInd w:val="0"/>
        <w:snapToGrid w:val="0"/>
        <w:spacing w:line="360" w:lineRule="auto"/>
        <w:ind w:firstLine="960" w:firstLineChars="300"/>
        <w:jc w:val="both"/>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采 购 人：青岛碧海水务有限公司</w:t>
      </w:r>
    </w:p>
    <w:p w14:paraId="676CD0DD">
      <w:pPr>
        <w:pStyle w:val="2"/>
        <w:keepNext w:val="0"/>
        <w:keepLines w:val="0"/>
        <w:widowControl/>
        <w:suppressLineNumbers w:val="0"/>
        <w:ind w:left="2570" w:hanging="2570" w:hangingChars="800"/>
        <w:jc w:val="left"/>
        <w:rPr>
          <w:rFonts w:hint="default" w:ascii="仿宋" w:hAnsi="仿宋" w:eastAsia="仿宋" w:cs="仿宋"/>
          <w:b w:val="0"/>
          <w:bCs w:val="0"/>
          <w:sz w:val="32"/>
          <w:szCs w:val="32"/>
          <w:highlight w:val="none"/>
          <w:lang w:val="en-US"/>
        </w:rPr>
      </w:pPr>
      <w:r>
        <w:rPr>
          <w:rFonts w:hint="eastAsia" w:ascii="仿宋" w:hAnsi="仿宋" w:eastAsia="仿宋" w:cs="仿宋"/>
          <w:sz w:val="32"/>
          <w:szCs w:val="32"/>
          <w:highlight w:val="none"/>
          <w:lang w:val="en-US" w:eastAsia="zh-CN"/>
        </w:rPr>
        <w:t xml:space="preserve">     </w:t>
      </w:r>
      <w:r>
        <w:rPr>
          <w:rFonts w:hint="eastAsia" w:ascii="仿宋" w:hAnsi="仿宋" w:eastAsia="仿宋" w:cs="仿宋"/>
          <w:sz w:val="32"/>
          <w:szCs w:val="32"/>
          <w:highlight w:val="none"/>
        </w:rPr>
        <w:t>项目名称：</w:t>
      </w:r>
      <w:r>
        <w:rPr>
          <w:rFonts w:hint="eastAsia" w:ascii="仿宋" w:hAnsi="仿宋" w:eastAsia="仿宋" w:cs="仿宋"/>
          <w:b w:val="0"/>
          <w:bCs w:val="0"/>
          <w:sz w:val="32"/>
          <w:szCs w:val="32"/>
          <w:highlight w:val="none"/>
          <w:lang w:val="en-US" w:eastAsia="zh-CN"/>
        </w:rPr>
        <w:t>数据入湖设备改造项目--设备安装及软件编程服务</w:t>
      </w:r>
    </w:p>
    <w:p w14:paraId="38BCE920">
      <w:pPr>
        <w:pageBreakBefore w:val="0"/>
        <w:shd w:val="clear"/>
        <w:kinsoku/>
        <w:wordWrap/>
        <w:overflowPunct/>
        <w:autoSpaceDE/>
        <w:autoSpaceDN/>
        <w:bidi w:val="0"/>
        <w:adjustRightInd w:val="0"/>
        <w:snapToGrid w:val="0"/>
        <w:spacing w:line="360" w:lineRule="auto"/>
        <w:ind w:firstLine="960" w:firstLineChars="300"/>
        <w:jc w:val="both"/>
        <w:textAlignment w:val="auto"/>
        <w:rPr>
          <w:rFonts w:hint="default"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项目编号：CG202613</w:t>
      </w:r>
    </w:p>
    <w:p w14:paraId="71A2F011">
      <w:pPr>
        <w:pageBreakBefore w:val="0"/>
        <w:shd w:val="clear"/>
        <w:kinsoku/>
        <w:wordWrap/>
        <w:overflowPunct/>
        <w:autoSpaceDE/>
        <w:autoSpaceDN/>
        <w:bidi w:val="0"/>
        <w:adjustRightInd w:val="0"/>
        <w:snapToGrid w:val="0"/>
        <w:spacing w:line="360" w:lineRule="auto"/>
        <w:ind w:firstLine="640" w:firstLineChars="200"/>
        <w:jc w:val="center"/>
        <w:textAlignment w:val="auto"/>
        <w:rPr>
          <w:rFonts w:ascii="仿宋" w:hAnsi="仿宋" w:eastAsia="仿宋" w:cs="仿宋"/>
          <w:sz w:val="32"/>
          <w:szCs w:val="32"/>
          <w:highlight w:val="none"/>
        </w:rPr>
      </w:pPr>
    </w:p>
    <w:p w14:paraId="48B07C6D">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 xml:space="preserve"> </w:t>
      </w:r>
    </w:p>
    <w:p w14:paraId="5DCFAC21">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rPr>
      </w:pPr>
    </w:p>
    <w:p w14:paraId="5B9DC4D6">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rPr>
      </w:pPr>
    </w:p>
    <w:p w14:paraId="53220105">
      <w:pPr>
        <w:pageBreakBefore w:val="0"/>
        <w:shd w:val="clear"/>
        <w:kinsoku/>
        <w:wordWrap/>
        <w:overflowPunct/>
        <w:autoSpaceDE/>
        <w:autoSpaceDN/>
        <w:bidi w:val="0"/>
        <w:adjustRightInd w:val="0"/>
        <w:snapToGrid w:val="0"/>
        <w:spacing w:line="360" w:lineRule="auto"/>
        <w:ind w:firstLine="560" w:firstLineChars="200"/>
        <w:textAlignment w:val="auto"/>
        <w:rPr>
          <w:rFonts w:ascii="仿宋" w:hAnsi="仿宋" w:eastAsia="仿宋" w:cs="仿宋"/>
          <w:sz w:val="28"/>
          <w:szCs w:val="28"/>
          <w:highlight w:val="none"/>
        </w:rPr>
      </w:pPr>
    </w:p>
    <w:p w14:paraId="137BE08A">
      <w:pPr>
        <w:pageBreakBefore w:val="0"/>
        <w:shd w:val="clear"/>
        <w:kinsoku/>
        <w:wordWrap/>
        <w:overflowPunct/>
        <w:autoSpaceDE/>
        <w:autoSpaceDN/>
        <w:bidi w:val="0"/>
        <w:adjustRightInd w:val="0"/>
        <w:snapToGrid w:val="0"/>
        <w:spacing w:line="360" w:lineRule="auto"/>
        <w:ind w:firstLine="560" w:firstLineChars="200"/>
        <w:jc w:val="center"/>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rPr>
        <w:t>202</w:t>
      </w:r>
      <w:r>
        <w:rPr>
          <w:rFonts w:hint="eastAsia" w:ascii="仿宋" w:hAnsi="仿宋" w:eastAsia="仿宋" w:cs="仿宋"/>
          <w:sz w:val="28"/>
          <w:szCs w:val="28"/>
          <w:highlight w:val="none"/>
          <w:lang w:val="en-US" w:eastAsia="zh-CN"/>
        </w:rPr>
        <w:t>6</w:t>
      </w:r>
      <w:r>
        <w:rPr>
          <w:rFonts w:hint="eastAsia" w:ascii="仿宋" w:hAnsi="仿宋" w:eastAsia="仿宋" w:cs="仿宋"/>
          <w:sz w:val="28"/>
          <w:szCs w:val="28"/>
          <w:highlight w:val="none"/>
        </w:rPr>
        <w:t>年</w:t>
      </w:r>
      <w:r>
        <w:rPr>
          <w:rFonts w:hint="eastAsia" w:ascii="仿宋" w:hAnsi="仿宋" w:eastAsia="仿宋" w:cs="仿宋"/>
          <w:sz w:val="28"/>
          <w:szCs w:val="28"/>
          <w:highlight w:val="none"/>
          <w:lang w:val="en-US" w:eastAsia="zh-CN"/>
        </w:rPr>
        <w:t>7</w:t>
      </w:r>
      <w:r>
        <w:rPr>
          <w:rFonts w:hint="eastAsia" w:ascii="仿宋" w:hAnsi="仿宋" w:eastAsia="仿宋" w:cs="仿宋"/>
          <w:sz w:val="28"/>
          <w:szCs w:val="28"/>
          <w:highlight w:val="none"/>
        </w:rPr>
        <w:t>月</w:t>
      </w:r>
      <w:r>
        <w:rPr>
          <w:rFonts w:hint="eastAsia" w:ascii="仿宋" w:hAnsi="仿宋" w:eastAsia="仿宋" w:cs="仿宋"/>
          <w:sz w:val="28"/>
          <w:szCs w:val="28"/>
          <w:highlight w:val="none"/>
          <w:lang w:val="en-US" w:eastAsia="zh-CN"/>
        </w:rPr>
        <w:t>2日</w:t>
      </w:r>
    </w:p>
    <w:p w14:paraId="6A3978C3">
      <w:pPr>
        <w:spacing w:line="247" w:lineRule="auto"/>
        <w:rPr>
          <w:rFonts w:ascii="Arial"/>
          <w:sz w:val="21"/>
          <w:highlight w:val="none"/>
        </w:rPr>
      </w:pPr>
    </w:p>
    <w:p w14:paraId="7977A567">
      <w:pPr>
        <w:spacing w:line="247" w:lineRule="auto"/>
        <w:rPr>
          <w:rFonts w:ascii="Arial"/>
          <w:sz w:val="21"/>
          <w:highlight w:val="none"/>
        </w:rPr>
      </w:pPr>
    </w:p>
    <w:p w14:paraId="636A16C9">
      <w:pPr>
        <w:spacing w:line="247" w:lineRule="auto"/>
        <w:rPr>
          <w:rFonts w:ascii="Arial"/>
          <w:sz w:val="32"/>
          <w:szCs w:val="32"/>
          <w:highlight w:val="none"/>
        </w:rPr>
      </w:pPr>
    </w:p>
    <w:p w14:paraId="5CDAFEB0">
      <w:pPr>
        <w:pageBreakBefore w:val="0"/>
        <w:shd w:val="clear"/>
        <w:kinsoku/>
        <w:wordWrap/>
        <w:overflowPunct/>
        <w:autoSpaceDE/>
        <w:autoSpaceDN/>
        <w:bidi w:val="0"/>
        <w:adjustRightInd w:val="0"/>
        <w:snapToGrid w:val="0"/>
        <w:spacing w:line="360" w:lineRule="auto"/>
        <w:ind w:firstLine="723" w:firstLineChars="200"/>
        <w:jc w:val="center"/>
        <w:textAlignment w:val="auto"/>
        <w:rPr>
          <w:rFonts w:hint="eastAsia" w:ascii="仿宋" w:hAnsi="仿宋" w:eastAsia="仿宋" w:cs="仿宋"/>
          <w:b/>
          <w:bCs/>
          <w:sz w:val="36"/>
          <w:szCs w:val="36"/>
          <w:highlight w:val="none"/>
        </w:rPr>
      </w:pPr>
      <w:bookmarkStart w:id="0" w:name="_Toc20199"/>
    </w:p>
    <w:p w14:paraId="2CBF4791">
      <w:pPr>
        <w:pageBreakBefore w:val="0"/>
        <w:shd w:val="clear"/>
        <w:kinsoku/>
        <w:wordWrap/>
        <w:overflowPunct/>
        <w:autoSpaceDE/>
        <w:autoSpaceDN/>
        <w:bidi w:val="0"/>
        <w:adjustRightInd w:val="0"/>
        <w:snapToGrid w:val="0"/>
        <w:spacing w:line="360" w:lineRule="auto"/>
        <w:ind w:firstLine="723" w:firstLineChars="200"/>
        <w:jc w:val="center"/>
        <w:textAlignment w:val="auto"/>
        <w:rPr>
          <w:rFonts w:hint="eastAsia" w:ascii="仿宋" w:hAnsi="仿宋" w:eastAsia="仿宋" w:cs="仿宋"/>
          <w:b/>
          <w:bCs/>
          <w:sz w:val="36"/>
          <w:szCs w:val="36"/>
          <w:highlight w:val="none"/>
        </w:rPr>
      </w:pPr>
    </w:p>
    <w:p w14:paraId="0B3B366C">
      <w:pPr>
        <w:pageBreakBefore w:val="0"/>
        <w:shd w:val="clear"/>
        <w:kinsoku/>
        <w:wordWrap/>
        <w:overflowPunct/>
        <w:autoSpaceDE/>
        <w:autoSpaceDN/>
        <w:bidi w:val="0"/>
        <w:adjustRightInd w:val="0"/>
        <w:snapToGrid w:val="0"/>
        <w:spacing w:line="360" w:lineRule="auto"/>
        <w:ind w:firstLine="3614" w:firstLineChars="1000"/>
        <w:jc w:val="both"/>
        <w:textAlignment w:val="auto"/>
        <w:rPr>
          <w:rFonts w:hint="eastAsia" w:ascii="仿宋" w:hAnsi="仿宋" w:eastAsia="仿宋" w:cs="仿宋"/>
          <w:sz w:val="36"/>
          <w:szCs w:val="36"/>
          <w:highlight w:val="none"/>
          <w:u w:val="single"/>
        </w:rPr>
      </w:pPr>
      <w:r>
        <w:rPr>
          <w:rFonts w:hint="eastAsia" w:ascii="仿宋" w:hAnsi="仿宋" w:eastAsia="仿宋" w:cs="仿宋"/>
          <w:b/>
          <w:bCs/>
          <w:sz w:val="36"/>
          <w:szCs w:val="36"/>
          <w:highlight w:val="none"/>
        </w:rPr>
        <w:t xml:space="preserve">第一章 </w:t>
      </w:r>
      <w:r>
        <w:rPr>
          <w:rFonts w:hint="eastAsia" w:ascii="仿宋" w:hAnsi="仿宋" w:eastAsia="仿宋" w:cs="仿宋"/>
          <w:b/>
          <w:bCs/>
          <w:sz w:val="36"/>
          <w:szCs w:val="36"/>
          <w:highlight w:val="none"/>
          <w:lang w:val="en-US" w:eastAsia="zh-CN"/>
        </w:rPr>
        <w:t>询 价 函</w:t>
      </w:r>
    </w:p>
    <w:p w14:paraId="77037015">
      <w:pPr>
        <w:pStyle w:val="2"/>
        <w:keepNext w:val="0"/>
        <w:keepLines w:val="0"/>
        <w:widowControl/>
        <w:suppressLineNumbers w:val="0"/>
        <w:spacing w:line="360" w:lineRule="auto"/>
        <w:ind w:firstLine="562" w:firstLineChars="200"/>
        <w:jc w:val="left"/>
        <w:rPr>
          <w:rFonts w:hint="eastAsia" w:ascii="仿宋" w:hAnsi="仿宋" w:eastAsia="仿宋" w:cs="仿宋"/>
          <w:b/>
          <w:bCs/>
          <w:sz w:val="28"/>
          <w:szCs w:val="28"/>
          <w:highlight w:val="none"/>
        </w:rPr>
      </w:pPr>
      <w:r>
        <w:rPr>
          <w:rFonts w:hint="eastAsia" w:ascii="仿宋" w:hAnsi="仿宋" w:eastAsia="仿宋" w:cs="仿宋"/>
          <w:b/>
          <w:bCs/>
          <w:sz w:val="28"/>
          <w:szCs w:val="28"/>
          <w:highlight w:val="none"/>
        </w:rPr>
        <w:t>我公司就</w:t>
      </w:r>
      <w:r>
        <w:rPr>
          <w:rFonts w:hint="eastAsia" w:ascii="仿宋" w:hAnsi="仿宋" w:eastAsia="仿宋" w:cs="仿宋"/>
          <w:b/>
          <w:bCs/>
          <w:sz w:val="28"/>
          <w:szCs w:val="28"/>
          <w:highlight w:val="none"/>
          <w:u w:val="single"/>
          <w:lang w:val="en-US" w:eastAsia="zh-CN"/>
        </w:rPr>
        <w:t>数据入湖设备改造项目--设备安装及软件编程服务</w:t>
      </w:r>
      <w:r>
        <w:rPr>
          <w:rFonts w:hint="eastAsia" w:ascii="仿宋" w:hAnsi="仿宋" w:eastAsia="仿宋" w:cs="仿宋"/>
          <w:b/>
          <w:bCs/>
          <w:sz w:val="28"/>
          <w:szCs w:val="28"/>
          <w:highlight w:val="none"/>
        </w:rPr>
        <w:t>以</w:t>
      </w:r>
      <w:r>
        <w:rPr>
          <w:rFonts w:hint="eastAsia" w:ascii="仿宋" w:hAnsi="仿宋" w:eastAsia="仿宋" w:cs="仿宋"/>
          <w:b/>
          <w:bCs/>
          <w:sz w:val="28"/>
          <w:szCs w:val="28"/>
          <w:highlight w:val="none"/>
          <w:lang w:val="en-US" w:eastAsia="zh-CN"/>
        </w:rPr>
        <w:t>公开询比</w:t>
      </w:r>
      <w:r>
        <w:rPr>
          <w:rFonts w:hint="eastAsia" w:ascii="仿宋" w:hAnsi="仿宋" w:eastAsia="仿宋" w:cs="仿宋"/>
          <w:b/>
          <w:bCs/>
          <w:sz w:val="28"/>
          <w:szCs w:val="28"/>
          <w:highlight w:val="none"/>
        </w:rPr>
        <w:t>方式组织采购，欢迎</w:t>
      </w:r>
      <w:r>
        <w:rPr>
          <w:rFonts w:hint="eastAsia" w:ascii="仿宋" w:hAnsi="仿宋" w:eastAsia="仿宋" w:cs="仿宋"/>
          <w:b/>
          <w:bCs/>
          <w:sz w:val="28"/>
          <w:szCs w:val="28"/>
          <w:highlight w:val="none"/>
          <w:lang w:val="en-US" w:eastAsia="zh-CN"/>
        </w:rPr>
        <w:t>符合条件的各单位</w:t>
      </w:r>
      <w:r>
        <w:rPr>
          <w:rFonts w:hint="eastAsia" w:ascii="仿宋" w:hAnsi="仿宋" w:eastAsia="仿宋" w:cs="仿宋"/>
          <w:b/>
          <w:bCs/>
          <w:sz w:val="28"/>
          <w:szCs w:val="28"/>
          <w:highlight w:val="none"/>
        </w:rPr>
        <w:t>参加报价。</w:t>
      </w:r>
    </w:p>
    <w:p w14:paraId="1BF4FDB1">
      <w:pPr>
        <w:pageBreakBefore w:val="0"/>
        <w:numPr>
          <w:ilvl w:val="0"/>
          <w:numId w:val="2"/>
        </w:numPr>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rPr>
        <w:t>项目名称：</w:t>
      </w:r>
      <w:r>
        <w:rPr>
          <w:rFonts w:hint="eastAsia" w:ascii="仿宋" w:hAnsi="仿宋" w:eastAsia="仿宋" w:cs="仿宋"/>
          <w:b w:val="0"/>
          <w:bCs w:val="0"/>
          <w:sz w:val="28"/>
          <w:szCs w:val="28"/>
          <w:highlight w:val="none"/>
          <w:u w:val="single"/>
          <w:lang w:val="en-US" w:eastAsia="zh-CN"/>
        </w:rPr>
        <w:t>数据入湖设备改造项目--设备安装及软件编程服务</w:t>
      </w:r>
    </w:p>
    <w:p w14:paraId="3E8B4A3D">
      <w:pPr>
        <w:pageBreakBefore w:val="0"/>
        <w:numPr>
          <w:ilvl w:val="0"/>
          <w:numId w:val="2"/>
        </w:numPr>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项目地点：城阳区、黄岛区</w:t>
      </w:r>
    </w:p>
    <w:p w14:paraId="15AA2634">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三、采购方式：</w:t>
      </w:r>
      <w:r>
        <w:rPr>
          <w:rFonts w:hint="eastAsia" w:ascii="仿宋" w:hAnsi="仿宋" w:eastAsia="仿宋" w:cs="仿宋"/>
          <w:sz w:val="28"/>
          <w:szCs w:val="28"/>
          <w:highlight w:val="none"/>
          <w:lang w:val="en-US" w:eastAsia="zh-CN"/>
        </w:rPr>
        <w:t>询比</w:t>
      </w:r>
      <w:r>
        <w:rPr>
          <w:rFonts w:hint="eastAsia" w:ascii="仿宋" w:hAnsi="仿宋" w:eastAsia="仿宋" w:cs="仿宋"/>
          <w:sz w:val="28"/>
          <w:szCs w:val="28"/>
          <w:highlight w:val="none"/>
        </w:rPr>
        <w:t>采购</w:t>
      </w:r>
    </w:p>
    <w:p w14:paraId="409981B2">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rPr>
        <w:t>四、定标方式：</w:t>
      </w:r>
      <w:r>
        <w:rPr>
          <w:rFonts w:hint="eastAsia" w:ascii="仿宋" w:hAnsi="仿宋" w:eastAsia="仿宋" w:cs="仿宋"/>
          <w:sz w:val="28"/>
          <w:szCs w:val="28"/>
          <w:highlight w:val="none"/>
          <w:lang w:val="en-US" w:eastAsia="zh-CN"/>
        </w:rPr>
        <w:t>完全响应全部询价条件且报价最低者成交</w:t>
      </w:r>
    </w:p>
    <w:p w14:paraId="0DEF6E32">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b w:val="0"/>
          <w:bCs w:val="0"/>
          <w:sz w:val="28"/>
          <w:szCs w:val="28"/>
          <w:highlight w:val="none"/>
        </w:rPr>
      </w:pPr>
      <w:r>
        <w:rPr>
          <w:rFonts w:hint="eastAsia" w:ascii="仿宋" w:hAnsi="仿宋" w:eastAsia="仿宋" w:cs="仿宋"/>
          <w:b w:val="0"/>
          <w:bCs w:val="0"/>
          <w:sz w:val="28"/>
          <w:szCs w:val="28"/>
          <w:highlight w:val="none"/>
        </w:rPr>
        <w:t>五、</w:t>
      </w:r>
      <w:r>
        <w:rPr>
          <w:rFonts w:hint="eastAsia" w:ascii="仿宋" w:hAnsi="仿宋" w:eastAsia="仿宋" w:cs="仿宋"/>
          <w:b w:val="0"/>
          <w:bCs w:val="0"/>
          <w:sz w:val="28"/>
          <w:szCs w:val="28"/>
          <w:highlight w:val="none"/>
          <w:lang w:val="en-US" w:eastAsia="zh-CN"/>
        </w:rPr>
        <w:t>合同主要条款</w:t>
      </w:r>
      <w:r>
        <w:rPr>
          <w:rFonts w:hint="eastAsia" w:ascii="仿宋" w:hAnsi="仿宋" w:eastAsia="仿宋" w:cs="仿宋"/>
          <w:b w:val="0"/>
          <w:bCs w:val="0"/>
          <w:sz w:val="28"/>
          <w:szCs w:val="28"/>
          <w:highlight w:val="none"/>
        </w:rPr>
        <w:t>：</w:t>
      </w:r>
    </w:p>
    <w:p w14:paraId="4D66F15D">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b w:val="0"/>
          <w:bCs w:val="0"/>
          <w:sz w:val="28"/>
          <w:szCs w:val="28"/>
          <w:highlight w:val="none"/>
        </w:rPr>
      </w:pPr>
      <w:r>
        <w:rPr>
          <w:rFonts w:hint="eastAsia" w:ascii="仿宋" w:hAnsi="仿宋" w:eastAsia="仿宋" w:cs="仿宋"/>
          <w:sz w:val="28"/>
          <w:szCs w:val="28"/>
          <w:highlight w:val="none"/>
          <w:vertAlign w:val="baseline"/>
          <w:lang w:val="en-US" w:eastAsia="zh-CN"/>
        </w:rPr>
        <w:t>1.采购</w:t>
      </w:r>
      <w:r>
        <w:rPr>
          <w:rFonts w:hint="eastAsia" w:ascii="仿宋" w:hAnsi="仿宋" w:eastAsia="仿宋" w:cs="仿宋"/>
          <w:kern w:val="0"/>
          <w:sz w:val="28"/>
          <w:szCs w:val="28"/>
          <w:highlight w:val="none"/>
          <w:lang w:val="en-US" w:eastAsia="zh-CN"/>
        </w:rPr>
        <w:t>范围：包括但不限于以下内容，详细内容见表1 待安装设备、软件清单。</w:t>
      </w:r>
    </w:p>
    <w:p w14:paraId="03CCEA07">
      <w:pPr>
        <w:pStyle w:val="33"/>
        <w:numPr>
          <w:ilvl w:val="0"/>
          <w:numId w:val="3"/>
        </w:numPr>
        <w:ind w:left="425" w:hanging="425" w:firstLineChars="0"/>
        <w:jc w:val="left"/>
        <w:rPr>
          <w:rFonts w:hint="eastAsia" w:ascii="仿宋" w:hAnsi="仿宋" w:eastAsia="仿宋" w:cs="仿宋"/>
          <w:b/>
          <w:bCs/>
          <w:sz w:val="28"/>
          <w:szCs w:val="28"/>
        </w:rPr>
      </w:pPr>
      <w:r>
        <w:rPr>
          <w:rFonts w:hint="eastAsia" w:ascii="仿宋" w:hAnsi="仿宋" w:eastAsia="仿宋" w:cs="仿宋"/>
          <w:b/>
          <w:bCs/>
          <w:sz w:val="28"/>
          <w:szCs w:val="28"/>
        </w:rPr>
        <w:t>负责甲方指定的两厂两站流量计</w:t>
      </w:r>
      <w:r>
        <w:rPr>
          <w:rFonts w:hint="eastAsia" w:ascii="仿宋" w:hAnsi="仿宋" w:eastAsia="仿宋" w:cs="仿宋"/>
          <w:sz w:val="28"/>
          <w:szCs w:val="28"/>
        </w:rPr>
        <w:t>、</w:t>
      </w:r>
      <w:r>
        <w:rPr>
          <w:rFonts w:hint="eastAsia" w:ascii="仿宋" w:hAnsi="仿宋" w:eastAsia="仿宋" w:cs="仿宋"/>
          <w:b/>
          <w:bCs/>
          <w:sz w:val="28"/>
          <w:szCs w:val="28"/>
        </w:rPr>
        <w:t>通讯设备</w:t>
      </w:r>
      <w:r>
        <w:rPr>
          <w:rFonts w:hint="eastAsia" w:ascii="仿宋" w:hAnsi="仿宋" w:eastAsia="仿宋" w:cs="仿宋"/>
          <w:sz w:val="28"/>
          <w:szCs w:val="28"/>
        </w:rPr>
        <w:t>、</w:t>
      </w:r>
      <w:r>
        <w:rPr>
          <w:rFonts w:hint="eastAsia" w:ascii="仿宋" w:hAnsi="仿宋" w:eastAsia="仿宋" w:cs="仿宋"/>
          <w:b/>
          <w:bCs/>
          <w:sz w:val="28"/>
          <w:szCs w:val="28"/>
        </w:rPr>
        <w:t>电能表等仪表设备安装，通信电缆敷设安装。</w:t>
      </w:r>
    </w:p>
    <w:p w14:paraId="08528672">
      <w:pPr>
        <w:pStyle w:val="33"/>
        <w:numPr>
          <w:ilvl w:val="0"/>
          <w:numId w:val="3"/>
        </w:numPr>
        <w:ind w:left="425" w:hanging="425" w:firstLineChars="0"/>
        <w:jc w:val="left"/>
        <w:rPr>
          <w:rFonts w:hint="eastAsia" w:ascii="仿宋" w:hAnsi="仿宋" w:eastAsia="仿宋" w:cs="仿宋"/>
          <w:b/>
          <w:bCs/>
          <w:sz w:val="28"/>
          <w:szCs w:val="28"/>
        </w:rPr>
      </w:pPr>
      <w:r>
        <w:rPr>
          <w:rFonts w:hint="eastAsia" w:ascii="仿宋" w:hAnsi="仿宋" w:eastAsia="仿宋" w:cs="仿宋"/>
          <w:b/>
          <w:bCs/>
          <w:sz w:val="28"/>
          <w:szCs w:val="28"/>
        </w:rPr>
        <w:t>负责棘洪滩泵站二期中控室至棘洪滩水厂光缆安装及光纤焊接（包括光缆购买）</w:t>
      </w:r>
      <w:r>
        <w:rPr>
          <w:rFonts w:hint="eastAsia" w:ascii="仿宋" w:hAnsi="仿宋" w:eastAsia="仿宋" w:cs="仿宋"/>
          <w:b/>
          <w:bCs/>
          <w:sz w:val="28"/>
          <w:szCs w:val="28"/>
          <w:lang w:eastAsia="zh-CN"/>
        </w:rPr>
        <w:t>。</w:t>
      </w:r>
    </w:p>
    <w:p w14:paraId="3CC1FB00">
      <w:pPr>
        <w:pStyle w:val="33"/>
        <w:numPr>
          <w:ilvl w:val="0"/>
          <w:numId w:val="3"/>
        </w:numPr>
        <w:ind w:left="425" w:hanging="425" w:firstLineChars="0"/>
        <w:jc w:val="left"/>
        <w:rPr>
          <w:rFonts w:hint="eastAsia" w:ascii="仿宋" w:hAnsi="仿宋" w:eastAsia="仿宋" w:cs="仿宋"/>
          <w:b/>
          <w:bCs/>
          <w:sz w:val="28"/>
          <w:szCs w:val="28"/>
        </w:rPr>
      </w:pPr>
      <w:r>
        <w:rPr>
          <w:rFonts w:hint="eastAsia" w:ascii="仿宋" w:hAnsi="仿宋" w:eastAsia="仿宋" w:cs="仿宋"/>
          <w:b/>
          <w:bCs/>
          <w:sz w:val="28"/>
          <w:szCs w:val="28"/>
        </w:rPr>
        <w:t>乙方需对甲方提供的电能表进行校对，使其电能数据满足甲方需求。</w:t>
      </w:r>
    </w:p>
    <w:p w14:paraId="31196000">
      <w:pPr>
        <w:pStyle w:val="33"/>
        <w:numPr>
          <w:ilvl w:val="0"/>
          <w:numId w:val="3"/>
        </w:numPr>
        <w:ind w:left="425" w:hanging="425" w:firstLineChars="0"/>
        <w:jc w:val="left"/>
        <w:rPr>
          <w:rFonts w:hint="eastAsia" w:ascii="仿宋" w:hAnsi="仿宋" w:eastAsia="仿宋" w:cs="仿宋"/>
          <w:b/>
          <w:bCs/>
          <w:sz w:val="28"/>
          <w:szCs w:val="28"/>
        </w:rPr>
      </w:pPr>
      <w:r>
        <w:rPr>
          <w:rFonts w:hint="eastAsia" w:ascii="仿宋" w:hAnsi="仿宋" w:eastAsia="仿宋" w:cs="仿宋"/>
          <w:b/>
          <w:bCs/>
          <w:sz w:val="28"/>
          <w:szCs w:val="28"/>
        </w:rPr>
        <w:t>安装辅材由乙方提供。（柜内接线/线鼻等辅材）</w:t>
      </w:r>
    </w:p>
    <w:p w14:paraId="1899596E">
      <w:pPr>
        <w:pStyle w:val="33"/>
        <w:numPr>
          <w:ilvl w:val="0"/>
          <w:numId w:val="3"/>
        </w:numPr>
        <w:ind w:left="425" w:hanging="425" w:firstLineChars="0"/>
        <w:jc w:val="left"/>
        <w:rPr>
          <w:rFonts w:hint="eastAsia" w:ascii="仿宋" w:hAnsi="仿宋" w:eastAsia="仿宋" w:cs="仿宋"/>
          <w:b/>
          <w:bCs/>
          <w:sz w:val="28"/>
          <w:szCs w:val="28"/>
        </w:rPr>
      </w:pPr>
      <w:r>
        <w:rPr>
          <w:rFonts w:hint="eastAsia" w:ascii="仿宋" w:hAnsi="仿宋" w:eastAsia="仿宋" w:cs="仿宋"/>
          <w:b/>
          <w:bCs/>
          <w:sz w:val="28"/>
          <w:szCs w:val="28"/>
        </w:rPr>
        <w:t>负责将两厂两站流量数据及电能数据读出，并上传wincc系统，wincc系统由原版本V6.0升到7.4.</w:t>
      </w:r>
    </w:p>
    <w:p w14:paraId="2B11BB6A">
      <w:pPr>
        <w:pStyle w:val="33"/>
        <w:numPr>
          <w:ilvl w:val="-1"/>
          <w:numId w:val="0"/>
        </w:numPr>
        <w:ind w:left="0" w:firstLine="0" w:firstLineChars="0"/>
        <w:rPr>
          <w:rFonts w:hint="eastAsia" w:ascii="仿宋" w:hAnsi="仿宋" w:eastAsia="仿宋" w:cs="仿宋"/>
          <w:kern w:val="0"/>
          <w:sz w:val="28"/>
          <w:szCs w:val="28"/>
          <w:highlight w:val="none"/>
          <w:lang w:val="en-US" w:eastAsia="zh-CN"/>
        </w:rPr>
      </w:pPr>
      <w:r>
        <w:rPr>
          <w:rFonts w:hint="eastAsia" w:ascii="仿宋" w:hAnsi="仿宋" w:eastAsia="仿宋" w:cs="仿宋"/>
          <w:b/>
          <w:bCs/>
          <w:sz w:val="28"/>
          <w:szCs w:val="28"/>
        </w:rPr>
        <w:t>将甲方指定数据写入指定数据库，并且格式符合甲方需求，以甲方最终需求为准。</w:t>
      </w:r>
    </w:p>
    <w:p w14:paraId="11D8EC00">
      <w:pPr>
        <w:pageBreakBefore w:val="0"/>
        <w:widowControl w:val="0"/>
        <w:numPr>
          <w:ilvl w:val="0"/>
          <w:numId w:val="0"/>
        </w:numPr>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b/>
          <w:bCs/>
          <w:sz w:val="28"/>
          <w:szCs w:val="28"/>
          <w:highlight w:val="none"/>
          <w:vertAlign w:val="baseline"/>
          <w:lang w:val="en-US" w:eastAsia="zh-CN"/>
        </w:rPr>
      </w:pPr>
      <w:r>
        <w:rPr>
          <w:rFonts w:hint="eastAsia" w:ascii="仿宋" w:hAnsi="仿宋" w:eastAsia="仿宋" w:cs="仿宋"/>
          <w:b/>
          <w:bCs/>
          <w:sz w:val="28"/>
          <w:szCs w:val="28"/>
          <w:highlight w:val="none"/>
          <w:vertAlign w:val="baseline"/>
          <w:lang w:val="en-US" w:eastAsia="zh-CN"/>
        </w:rPr>
        <w:t>2.本项目总控制价人民币52700元（含税），大写人民币伍万贰仟柒佰元整，其中材料设备安装费（表1 待安装设备、软件清单第1至30项）控制价</w:t>
      </w:r>
      <w:r>
        <w:rPr>
          <w:rFonts w:hint="eastAsia" w:ascii="仿宋" w:hAnsi="仿宋" w:eastAsia="仿宋" w:cs="仿宋"/>
          <w:b/>
          <w:bCs/>
          <w:i w:val="0"/>
          <w:iCs w:val="0"/>
          <w:snapToGrid w:val="0"/>
          <w:color w:val="000000"/>
          <w:kern w:val="0"/>
          <w:sz w:val="28"/>
          <w:szCs w:val="28"/>
          <w:u w:val="none"/>
          <w:lang w:val="en-US" w:eastAsia="zh-CN" w:bidi="ar"/>
        </w:rPr>
        <w:t>16700元整，人民币大写壹万陆仟柒佰元整。两厂两站wicc系统升级及数据录入费（</w:t>
      </w:r>
      <w:r>
        <w:rPr>
          <w:rFonts w:hint="eastAsia" w:ascii="仿宋" w:hAnsi="仿宋" w:eastAsia="仿宋" w:cs="仿宋"/>
          <w:b/>
          <w:bCs/>
          <w:sz w:val="28"/>
          <w:szCs w:val="28"/>
          <w:highlight w:val="none"/>
          <w:vertAlign w:val="baseline"/>
          <w:lang w:val="en-US" w:eastAsia="zh-CN"/>
        </w:rPr>
        <w:t>表1 待安装设备、软件清单第31项</w:t>
      </w:r>
      <w:r>
        <w:rPr>
          <w:rFonts w:hint="eastAsia" w:ascii="仿宋" w:hAnsi="仿宋" w:eastAsia="仿宋" w:cs="仿宋"/>
          <w:b/>
          <w:bCs/>
          <w:i w:val="0"/>
          <w:iCs w:val="0"/>
          <w:snapToGrid w:val="0"/>
          <w:color w:val="000000"/>
          <w:kern w:val="0"/>
          <w:sz w:val="28"/>
          <w:szCs w:val="28"/>
          <w:u w:val="none"/>
          <w:lang w:val="en-US" w:eastAsia="zh-CN" w:bidi="ar"/>
        </w:rPr>
        <w:t>）控制价：人民币36000元整，人民币大写叁万陆仟元整。</w:t>
      </w:r>
      <w:r>
        <w:rPr>
          <w:rFonts w:hint="eastAsia" w:ascii="仿宋" w:hAnsi="仿宋" w:eastAsia="仿宋" w:cs="仿宋"/>
          <w:b/>
          <w:bCs/>
          <w:sz w:val="28"/>
          <w:szCs w:val="28"/>
          <w:highlight w:val="none"/>
          <w:vertAlign w:val="baseline"/>
          <w:lang w:val="en-US" w:eastAsia="zh-CN"/>
        </w:rPr>
        <w:t>需安装的设备及软件清单如下：</w:t>
      </w:r>
    </w:p>
    <w:tbl>
      <w:tblPr>
        <w:tblStyle w:val="17"/>
        <w:tblW w:w="10303" w:type="dxa"/>
        <w:tblInd w:w="-62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33"/>
        <w:gridCol w:w="883"/>
        <w:gridCol w:w="2534"/>
        <w:gridCol w:w="2823"/>
        <w:gridCol w:w="660"/>
        <w:gridCol w:w="780"/>
        <w:gridCol w:w="1890"/>
      </w:tblGrid>
      <w:tr w14:paraId="0937D9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10303"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51D293C6">
            <w:pPr>
              <w:keepNext w:val="0"/>
              <w:keepLines w:val="0"/>
              <w:widowControl/>
              <w:suppressLineNumbers w:val="0"/>
              <w:jc w:val="center"/>
              <w:textAlignment w:val="center"/>
              <w:rPr>
                <w:rFonts w:ascii="仿宋_GB2312" w:hAnsi="等线" w:eastAsia="仿宋_GB2312" w:cs="仿宋_GB2312"/>
                <w:b/>
                <w:bCs/>
                <w:i w:val="0"/>
                <w:iCs w:val="0"/>
                <w:color w:val="000000"/>
                <w:sz w:val="32"/>
                <w:szCs w:val="32"/>
                <w:u w:val="none"/>
              </w:rPr>
            </w:pPr>
            <w:r>
              <w:rPr>
                <w:rFonts w:hint="eastAsia" w:ascii="仿宋_GB2312" w:hAnsi="等线" w:eastAsia="仿宋_GB2312" w:cs="仿宋_GB2312"/>
                <w:b/>
                <w:bCs/>
                <w:i w:val="0"/>
                <w:iCs w:val="0"/>
                <w:snapToGrid w:val="0"/>
                <w:color w:val="000000"/>
                <w:kern w:val="0"/>
                <w:sz w:val="32"/>
                <w:szCs w:val="32"/>
                <w:u w:val="none"/>
                <w:lang w:val="en-US" w:eastAsia="zh-CN" w:bidi="ar"/>
              </w:rPr>
              <w:t xml:space="preserve">表1   </w:t>
            </w:r>
            <w:r>
              <w:rPr>
                <w:rFonts w:hint="default" w:ascii="仿宋_GB2312" w:hAnsi="等线" w:eastAsia="仿宋_GB2312" w:cs="仿宋_GB2312"/>
                <w:b/>
                <w:bCs/>
                <w:i w:val="0"/>
                <w:iCs w:val="0"/>
                <w:snapToGrid w:val="0"/>
                <w:color w:val="000000"/>
                <w:kern w:val="0"/>
                <w:sz w:val="32"/>
                <w:szCs w:val="32"/>
                <w:u w:val="none"/>
                <w:lang w:val="en-US" w:eastAsia="zh-CN" w:bidi="ar"/>
              </w:rPr>
              <w:t>待安装设备</w:t>
            </w:r>
            <w:r>
              <w:rPr>
                <w:rFonts w:hint="eastAsia" w:ascii="仿宋_GB2312" w:hAnsi="等线" w:eastAsia="仿宋_GB2312" w:cs="仿宋_GB2312"/>
                <w:b/>
                <w:bCs/>
                <w:i w:val="0"/>
                <w:iCs w:val="0"/>
                <w:snapToGrid w:val="0"/>
                <w:color w:val="000000"/>
                <w:kern w:val="0"/>
                <w:sz w:val="32"/>
                <w:szCs w:val="32"/>
                <w:u w:val="none"/>
                <w:lang w:val="en-US" w:eastAsia="zh-CN" w:bidi="ar"/>
              </w:rPr>
              <w:t>、软件</w:t>
            </w:r>
            <w:r>
              <w:rPr>
                <w:rFonts w:hint="default" w:ascii="仿宋_GB2312" w:hAnsi="等线" w:eastAsia="仿宋_GB2312" w:cs="仿宋_GB2312"/>
                <w:b/>
                <w:bCs/>
                <w:i w:val="0"/>
                <w:iCs w:val="0"/>
                <w:snapToGrid w:val="0"/>
                <w:color w:val="000000"/>
                <w:kern w:val="0"/>
                <w:sz w:val="32"/>
                <w:szCs w:val="32"/>
                <w:u w:val="none"/>
                <w:lang w:val="en-US" w:eastAsia="zh-CN" w:bidi="ar"/>
              </w:rPr>
              <w:t>清单</w:t>
            </w:r>
          </w:p>
        </w:tc>
      </w:tr>
      <w:tr w14:paraId="1A0E76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83B99">
            <w:pPr>
              <w:keepNext w:val="0"/>
              <w:keepLines w:val="0"/>
              <w:widowControl/>
              <w:suppressLineNumbers w:val="0"/>
              <w:jc w:val="center"/>
              <w:textAlignment w:val="center"/>
              <w:rPr>
                <w:rFonts w:hint="default" w:ascii="仿宋_GB2312" w:hAnsi="等线" w:eastAsia="仿宋_GB2312" w:cs="仿宋_GB2312"/>
                <w:b/>
                <w:bCs/>
                <w:i w:val="0"/>
                <w:iCs w:val="0"/>
                <w:color w:val="000000"/>
                <w:sz w:val="20"/>
                <w:szCs w:val="20"/>
                <w:u w:val="none"/>
              </w:rPr>
            </w:pPr>
            <w:r>
              <w:rPr>
                <w:rFonts w:hint="default" w:ascii="仿宋_GB2312" w:hAnsi="等线" w:eastAsia="仿宋_GB2312" w:cs="仿宋_GB2312"/>
                <w:b/>
                <w:bCs/>
                <w:i w:val="0"/>
                <w:iCs w:val="0"/>
                <w:snapToGrid w:val="0"/>
                <w:color w:val="000000"/>
                <w:kern w:val="0"/>
                <w:sz w:val="20"/>
                <w:szCs w:val="20"/>
                <w:u w:val="none"/>
                <w:lang w:val="en-US" w:eastAsia="zh-CN" w:bidi="ar"/>
              </w:rPr>
              <w:t>序号</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23DB3">
            <w:pPr>
              <w:keepNext w:val="0"/>
              <w:keepLines w:val="0"/>
              <w:widowControl/>
              <w:suppressLineNumbers w:val="0"/>
              <w:jc w:val="center"/>
              <w:textAlignment w:val="center"/>
              <w:rPr>
                <w:rFonts w:hint="default" w:ascii="仿宋_GB2312" w:hAnsi="等线" w:eastAsia="仿宋_GB2312" w:cs="仿宋_GB2312"/>
                <w:b/>
                <w:bCs/>
                <w:i w:val="0"/>
                <w:iCs w:val="0"/>
                <w:color w:val="000000"/>
                <w:sz w:val="20"/>
                <w:szCs w:val="20"/>
                <w:u w:val="none"/>
              </w:rPr>
            </w:pPr>
            <w:r>
              <w:rPr>
                <w:rFonts w:hint="default" w:ascii="仿宋_GB2312" w:hAnsi="等线" w:eastAsia="仿宋_GB2312" w:cs="仿宋_GB2312"/>
                <w:b/>
                <w:bCs/>
                <w:i w:val="0"/>
                <w:iCs w:val="0"/>
                <w:snapToGrid w:val="0"/>
                <w:color w:val="000000"/>
                <w:kern w:val="0"/>
                <w:sz w:val="20"/>
                <w:szCs w:val="20"/>
                <w:u w:val="none"/>
                <w:lang w:val="en-US" w:eastAsia="zh-CN" w:bidi="ar"/>
              </w:rPr>
              <w:t>位置</w:t>
            </w:r>
          </w:p>
        </w:tc>
        <w:tc>
          <w:tcPr>
            <w:tcW w:w="2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0B744">
            <w:pPr>
              <w:keepNext w:val="0"/>
              <w:keepLines w:val="0"/>
              <w:widowControl/>
              <w:suppressLineNumbers w:val="0"/>
              <w:jc w:val="center"/>
              <w:textAlignment w:val="center"/>
              <w:rPr>
                <w:rFonts w:hint="default" w:ascii="仿宋_GB2312" w:hAnsi="等线" w:eastAsia="仿宋_GB2312" w:cs="仿宋_GB2312"/>
                <w:b/>
                <w:bCs/>
                <w:i w:val="0"/>
                <w:iCs w:val="0"/>
                <w:color w:val="000000"/>
                <w:sz w:val="20"/>
                <w:szCs w:val="20"/>
                <w:u w:val="none"/>
              </w:rPr>
            </w:pPr>
            <w:r>
              <w:rPr>
                <w:rFonts w:hint="default" w:ascii="仿宋_GB2312" w:hAnsi="等线" w:eastAsia="仿宋_GB2312" w:cs="仿宋_GB2312"/>
                <w:b/>
                <w:bCs/>
                <w:i w:val="0"/>
                <w:iCs w:val="0"/>
                <w:snapToGrid w:val="0"/>
                <w:color w:val="000000"/>
                <w:kern w:val="0"/>
                <w:sz w:val="20"/>
                <w:szCs w:val="20"/>
                <w:u w:val="none"/>
                <w:lang w:val="en-US" w:eastAsia="zh-CN" w:bidi="ar"/>
              </w:rPr>
              <w:t>设备（设施）名称</w:t>
            </w:r>
          </w:p>
        </w:tc>
        <w:tc>
          <w:tcPr>
            <w:tcW w:w="2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F55BA">
            <w:pPr>
              <w:keepNext w:val="0"/>
              <w:keepLines w:val="0"/>
              <w:widowControl/>
              <w:suppressLineNumbers w:val="0"/>
              <w:jc w:val="center"/>
              <w:textAlignment w:val="center"/>
              <w:rPr>
                <w:rFonts w:hint="default" w:ascii="仿宋_GB2312" w:hAnsi="等线" w:eastAsia="仿宋_GB2312" w:cs="仿宋_GB2312"/>
                <w:b/>
                <w:bCs/>
                <w:i w:val="0"/>
                <w:iCs w:val="0"/>
                <w:color w:val="000000"/>
                <w:sz w:val="20"/>
                <w:szCs w:val="20"/>
                <w:u w:val="none"/>
              </w:rPr>
            </w:pPr>
            <w:r>
              <w:rPr>
                <w:rFonts w:hint="default" w:ascii="仿宋_GB2312" w:hAnsi="等线" w:eastAsia="仿宋_GB2312" w:cs="仿宋_GB2312"/>
                <w:b/>
                <w:bCs/>
                <w:i w:val="0"/>
                <w:iCs w:val="0"/>
                <w:snapToGrid w:val="0"/>
                <w:color w:val="000000"/>
                <w:kern w:val="0"/>
                <w:sz w:val="20"/>
                <w:szCs w:val="20"/>
                <w:u w:val="none"/>
                <w:lang w:val="en-US" w:eastAsia="zh-CN" w:bidi="ar"/>
              </w:rPr>
              <w:t>规格型号</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FA6A7">
            <w:pPr>
              <w:keepNext w:val="0"/>
              <w:keepLines w:val="0"/>
              <w:widowControl/>
              <w:suppressLineNumbers w:val="0"/>
              <w:jc w:val="center"/>
              <w:textAlignment w:val="center"/>
              <w:rPr>
                <w:rFonts w:hint="default" w:ascii="仿宋_GB2312" w:hAnsi="等线" w:eastAsia="仿宋_GB2312" w:cs="仿宋_GB2312"/>
                <w:b/>
                <w:bCs/>
                <w:i w:val="0"/>
                <w:iCs w:val="0"/>
                <w:color w:val="000000"/>
                <w:sz w:val="20"/>
                <w:szCs w:val="20"/>
                <w:u w:val="none"/>
              </w:rPr>
            </w:pPr>
            <w:r>
              <w:rPr>
                <w:rFonts w:hint="default" w:ascii="仿宋_GB2312" w:hAnsi="等线" w:eastAsia="仿宋_GB2312" w:cs="仿宋_GB2312"/>
                <w:b/>
                <w:bCs/>
                <w:i w:val="0"/>
                <w:iCs w:val="0"/>
                <w:snapToGrid w:val="0"/>
                <w:color w:val="000000"/>
                <w:kern w:val="0"/>
                <w:sz w:val="20"/>
                <w:szCs w:val="20"/>
                <w:u w:val="none"/>
                <w:lang w:val="en-US" w:eastAsia="zh-CN" w:bidi="ar"/>
              </w:rPr>
              <w:t>单位</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F01E5">
            <w:pPr>
              <w:keepNext w:val="0"/>
              <w:keepLines w:val="0"/>
              <w:widowControl/>
              <w:suppressLineNumbers w:val="0"/>
              <w:jc w:val="center"/>
              <w:textAlignment w:val="center"/>
              <w:rPr>
                <w:rFonts w:hint="default" w:ascii="仿宋_GB2312" w:hAnsi="等线" w:eastAsia="仿宋_GB2312" w:cs="仿宋_GB2312"/>
                <w:b/>
                <w:bCs/>
                <w:i w:val="0"/>
                <w:iCs w:val="0"/>
                <w:color w:val="000000"/>
                <w:sz w:val="20"/>
                <w:szCs w:val="20"/>
                <w:u w:val="none"/>
              </w:rPr>
            </w:pPr>
            <w:r>
              <w:rPr>
                <w:rFonts w:hint="default" w:ascii="仿宋_GB2312" w:hAnsi="等线" w:eastAsia="仿宋_GB2312" w:cs="仿宋_GB2312"/>
                <w:b/>
                <w:bCs/>
                <w:i w:val="0"/>
                <w:iCs w:val="0"/>
                <w:snapToGrid w:val="0"/>
                <w:color w:val="000000"/>
                <w:kern w:val="0"/>
                <w:sz w:val="20"/>
                <w:szCs w:val="20"/>
                <w:u w:val="none"/>
                <w:lang w:val="en-US" w:eastAsia="zh-CN" w:bidi="ar"/>
              </w:rPr>
              <w:t>数量</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17E3E">
            <w:pPr>
              <w:keepNext w:val="0"/>
              <w:keepLines w:val="0"/>
              <w:widowControl/>
              <w:suppressLineNumbers w:val="0"/>
              <w:jc w:val="center"/>
              <w:textAlignment w:val="center"/>
              <w:rPr>
                <w:rFonts w:hint="default" w:ascii="仿宋_GB2312" w:hAnsi="等线" w:eastAsia="仿宋_GB2312" w:cs="仿宋_GB2312"/>
                <w:b/>
                <w:bCs/>
                <w:i w:val="0"/>
                <w:iCs w:val="0"/>
                <w:color w:val="000000"/>
                <w:sz w:val="20"/>
                <w:szCs w:val="20"/>
                <w:u w:val="none"/>
              </w:rPr>
            </w:pPr>
            <w:r>
              <w:rPr>
                <w:rFonts w:hint="default" w:ascii="仿宋_GB2312" w:hAnsi="等线" w:eastAsia="仿宋_GB2312" w:cs="仿宋_GB2312"/>
                <w:b/>
                <w:bCs/>
                <w:i w:val="0"/>
                <w:iCs w:val="0"/>
                <w:snapToGrid w:val="0"/>
                <w:color w:val="000000"/>
                <w:kern w:val="0"/>
                <w:sz w:val="20"/>
                <w:szCs w:val="20"/>
                <w:u w:val="none"/>
                <w:lang w:val="en-US" w:eastAsia="zh-CN" w:bidi="ar"/>
              </w:rPr>
              <w:t>备注</w:t>
            </w:r>
          </w:p>
        </w:tc>
      </w:tr>
      <w:tr w14:paraId="575385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17F3D">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1</w:t>
            </w:r>
          </w:p>
        </w:tc>
        <w:tc>
          <w:tcPr>
            <w:tcW w:w="8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A07FB7">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棘洪滩泵站</w:t>
            </w:r>
          </w:p>
        </w:tc>
        <w:tc>
          <w:tcPr>
            <w:tcW w:w="2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6ED53">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取水流量计</w:t>
            </w:r>
          </w:p>
        </w:tc>
        <w:tc>
          <w:tcPr>
            <w:tcW w:w="2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A360B">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取水流量计</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CAB26">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8A0EC">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2</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134CA">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包工包辅料</w:t>
            </w:r>
          </w:p>
        </w:tc>
      </w:tr>
      <w:tr w14:paraId="3011D6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247A0">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2</w:t>
            </w:r>
          </w:p>
        </w:tc>
        <w:tc>
          <w:tcPr>
            <w:tcW w:w="8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B98B8C">
            <w:pPr>
              <w:jc w:val="center"/>
              <w:rPr>
                <w:rFonts w:hint="default" w:ascii="仿宋_GB2312" w:hAnsi="等线" w:eastAsia="仿宋_GB2312" w:cs="仿宋_GB2312"/>
                <w:i w:val="0"/>
                <w:iCs w:val="0"/>
                <w:color w:val="000000"/>
                <w:sz w:val="20"/>
                <w:szCs w:val="20"/>
                <w:u w:val="none"/>
              </w:rPr>
            </w:pPr>
          </w:p>
        </w:tc>
        <w:tc>
          <w:tcPr>
            <w:tcW w:w="2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B824A">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通信电缆</w:t>
            </w:r>
          </w:p>
        </w:tc>
        <w:tc>
          <w:tcPr>
            <w:tcW w:w="2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C3A34">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安装/电缆敷设施工</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F2321">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米</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97672">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750</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443F5">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包工包辅料</w:t>
            </w:r>
          </w:p>
        </w:tc>
      </w:tr>
      <w:tr w14:paraId="0F4E28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7DFE8">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3</w:t>
            </w:r>
          </w:p>
        </w:tc>
        <w:tc>
          <w:tcPr>
            <w:tcW w:w="8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50BAA1">
            <w:pPr>
              <w:jc w:val="center"/>
              <w:rPr>
                <w:rFonts w:hint="default" w:ascii="仿宋_GB2312" w:hAnsi="等线" w:eastAsia="仿宋_GB2312" w:cs="仿宋_GB2312"/>
                <w:i w:val="0"/>
                <w:iCs w:val="0"/>
                <w:color w:val="000000"/>
                <w:sz w:val="20"/>
                <w:szCs w:val="20"/>
                <w:u w:val="none"/>
              </w:rPr>
            </w:pPr>
          </w:p>
        </w:tc>
        <w:tc>
          <w:tcPr>
            <w:tcW w:w="2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977D9">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PLC通讯模块</w:t>
            </w:r>
          </w:p>
        </w:tc>
        <w:tc>
          <w:tcPr>
            <w:tcW w:w="2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FF998">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smart200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6F555">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8FF7B">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1</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41D88">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包工包辅料</w:t>
            </w:r>
          </w:p>
        </w:tc>
      </w:tr>
      <w:tr w14:paraId="66AD8D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EF626">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4</w:t>
            </w:r>
          </w:p>
        </w:tc>
        <w:tc>
          <w:tcPr>
            <w:tcW w:w="8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3679F4">
            <w:pPr>
              <w:jc w:val="center"/>
              <w:rPr>
                <w:rFonts w:hint="default" w:ascii="仿宋_GB2312" w:hAnsi="等线" w:eastAsia="仿宋_GB2312" w:cs="仿宋_GB2312"/>
                <w:i w:val="0"/>
                <w:iCs w:val="0"/>
                <w:color w:val="000000"/>
                <w:sz w:val="20"/>
                <w:szCs w:val="20"/>
                <w:u w:val="none"/>
              </w:rPr>
            </w:pPr>
          </w:p>
        </w:tc>
        <w:tc>
          <w:tcPr>
            <w:tcW w:w="2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F9DEC">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采集通信网关</w:t>
            </w:r>
          </w:p>
        </w:tc>
        <w:tc>
          <w:tcPr>
            <w:tcW w:w="2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CA3AC">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巨控/映翰通</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614CB">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B76C4">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1</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D8D3C">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包工包辅料</w:t>
            </w:r>
          </w:p>
        </w:tc>
      </w:tr>
      <w:tr w14:paraId="0E317E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8C224">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5</w:t>
            </w:r>
          </w:p>
        </w:tc>
        <w:tc>
          <w:tcPr>
            <w:tcW w:w="8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1AE6FE">
            <w:pPr>
              <w:jc w:val="center"/>
              <w:rPr>
                <w:rFonts w:hint="default" w:ascii="仿宋_GB2312" w:hAnsi="等线" w:eastAsia="仿宋_GB2312" w:cs="仿宋_GB2312"/>
                <w:i w:val="0"/>
                <w:iCs w:val="0"/>
                <w:color w:val="000000"/>
                <w:sz w:val="20"/>
                <w:szCs w:val="20"/>
                <w:u w:val="none"/>
              </w:rPr>
            </w:pPr>
          </w:p>
        </w:tc>
        <w:tc>
          <w:tcPr>
            <w:tcW w:w="2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59A99">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光纤及相关设备</w:t>
            </w:r>
          </w:p>
        </w:tc>
        <w:tc>
          <w:tcPr>
            <w:tcW w:w="2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8BF34">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安装/电缆敷设施工</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8B2E6">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米</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51FE6">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1</w:t>
            </w:r>
          </w:p>
        </w:tc>
        <w:tc>
          <w:tcPr>
            <w:tcW w:w="1890" w:type="dxa"/>
            <w:tcBorders>
              <w:top w:val="single" w:color="000000" w:sz="4" w:space="0"/>
              <w:left w:val="single" w:color="000000" w:sz="4" w:space="0"/>
              <w:bottom w:val="single" w:color="000000" w:sz="4" w:space="0"/>
              <w:right w:val="single" w:color="000000" w:sz="4" w:space="0"/>
            </w:tcBorders>
            <w:shd w:val="clear" w:color="auto" w:fill="FFFF00"/>
            <w:vAlign w:val="center"/>
          </w:tcPr>
          <w:p w14:paraId="541E5C64">
            <w:pPr>
              <w:keepNext w:val="0"/>
              <w:keepLines w:val="0"/>
              <w:widowControl/>
              <w:suppressLineNumbers w:val="0"/>
              <w:jc w:val="center"/>
              <w:textAlignment w:val="center"/>
              <w:rPr>
                <w:rFonts w:hint="default" w:ascii="仿宋_GB2312" w:hAnsi="等线" w:eastAsia="仿宋_GB2312" w:cs="仿宋_GB2312"/>
                <w:b/>
                <w:bCs/>
                <w:i w:val="0"/>
                <w:iCs w:val="0"/>
                <w:color w:val="000000"/>
                <w:sz w:val="20"/>
                <w:szCs w:val="20"/>
                <w:u w:val="none"/>
              </w:rPr>
            </w:pPr>
            <w:r>
              <w:rPr>
                <w:rFonts w:hint="default" w:ascii="仿宋_GB2312" w:hAnsi="等线" w:eastAsia="仿宋_GB2312" w:cs="仿宋_GB2312"/>
                <w:b/>
                <w:bCs/>
                <w:i w:val="0"/>
                <w:iCs w:val="0"/>
                <w:snapToGrid w:val="0"/>
                <w:color w:val="000000"/>
                <w:kern w:val="0"/>
                <w:sz w:val="20"/>
                <w:szCs w:val="20"/>
                <w:u w:val="none"/>
                <w:lang w:val="en-US" w:eastAsia="zh-CN" w:bidi="ar"/>
              </w:rPr>
              <w:t>含光缆采购及敷设</w:t>
            </w:r>
          </w:p>
        </w:tc>
      </w:tr>
      <w:tr w14:paraId="4FC58B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32C5F">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6</w:t>
            </w:r>
          </w:p>
        </w:tc>
        <w:tc>
          <w:tcPr>
            <w:tcW w:w="8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FD0FF3">
            <w:pPr>
              <w:jc w:val="center"/>
              <w:rPr>
                <w:rFonts w:hint="default" w:ascii="仿宋_GB2312" w:hAnsi="等线" w:eastAsia="仿宋_GB2312" w:cs="仿宋_GB2312"/>
                <w:i w:val="0"/>
                <w:iCs w:val="0"/>
                <w:color w:val="000000"/>
                <w:sz w:val="20"/>
                <w:szCs w:val="20"/>
                <w:u w:val="none"/>
              </w:rPr>
            </w:pPr>
          </w:p>
        </w:tc>
        <w:tc>
          <w:tcPr>
            <w:tcW w:w="2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1D137">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分支SDWAN设备</w:t>
            </w:r>
          </w:p>
        </w:tc>
        <w:tc>
          <w:tcPr>
            <w:tcW w:w="2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24647">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天融信SDWAN设备</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04081">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286AA">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1</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EABD7">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包工包辅料</w:t>
            </w:r>
          </w:p>
        </w:tc>
      </w:tr>
      <w:tr w14:paraId="77274D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4F500">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7</w:t>
            </w:r>
          </w:p>
        </w:tc>
        <w:tc>
          <w:tcPr>
            <w:tcW w:w="8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95493F">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管家楼水厂</w:t>
            </w:r>
          </w:p>
        </w:tc>
        <w:tc>
          <w:tcPr>
            <w:tcW w:w="2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B7CB7">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制水流量计</w:t>
            </w:r>
            <w:r>
              <w:rPr>
                <w:rFonts w:hint="eastAsia" w:ascii="宋体" w:hAnsi="宋体" w:eastAsia="宋体" w:cs="宋体"/>
                <w:i w:val="0"/>
                <w:iCs w:val="0"/>
                <w:snapToGrid w:val="0"/>
                <w:color w:val="000000"/>
                <w:kern w:val="0"/>
                <w:sz w:val="20"/>
                <w:szCs w:val="20"/>
                <w:u w:val="none"/>
                <w:lang w:val="en-US" w:eastAsia="zh-CN" w:bidi="ar"/>
              </w:rPr>
              <w:t>+回收流量计</w:t>
            </w:r>
          </w:p>
        </w:tc>
        <w:tc>
          <w:tcPr>
            <w:tcW w:w="2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48A01">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上海泗博HART/MODBUS网关</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750D2">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A5E76">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3</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7BA1E">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包工包辅料</w:t>
            </w:r>
          </w:p>
        </w:tc>
      </w:tr>
      <w:tr w14:paraId="331CC8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4B25E">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8</w:t>
            </w:r>
          </w:p>
        </w:tc>
        <w:tc>
          <w:tcPr>
            <w:tcW w:w="8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2EC673">
            <w:pPr>
              <w:jc w:val="center"/>
              <w:rPr>
                <w:rFonts w:hint="default" w:ascii="仿宋_GB2312" w:hAnsi="等线" w:eastAsia="仿宋_GB2312" w:cs="仿宋_GB2312"/>
                <w:i w:val="0"/>
                <w:iCs w:val="0"/>
                <w:color w:val="000000"/>
                <w:sz w:val="20"/>
                <w:szCs w:val="20"/>
                <w:u w:val="none"/>
              </w:rPr>
            </w:pPr>
          </w:p>
        </w:tc>
        <w:tc>
          <w:tcPr>
            <w:tcW w:w="2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18797">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供水流量计</w:t>
            </w:r>
          </w:p>
        </w:tc>
        <w:tc>
          <w:tcPr>
            <w:tcW w:w="2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FC24E">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上海泗博HART/MODBUS网关</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1037C">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7F940">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2</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C39E0">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包工包辅料</w:t>
            </w:r>
          </w:p>
        </w:tc>
      </w:tr>
      <w:tr w14:paraId="598767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C3B70">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9</w:t>
            </w:r>
          </w:p>
        </w:tc>
        <w:tc>
          <w:tcPr>
            <w:tcW w:w="8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68E516">
            <w:pPr>
              <w:jc w:val="center"/>
              <w:rPr>
                <w:rFonts w:hint="default" w:ascii="仿宋_GB2312" w:hAnsi="等线" w:eastAsia="仿宋_GB2312" w:cs="仿宋_GB2312"/>
                <w:i w:val="0"/>
                <w:iCs w:val="0"/>
                <w:color w:val="000000"/>
                <w:sz w:val="20"/>
                <w:szCs w:val="20"/>
                <w:u w:val="none"/>
              </w:rPr>
            </w:pPr>
          </w:p>
        </w:tc>
        <w:tc>
          <w:tcPr>
            <w:tcW w:w="2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FF67F">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电表改造</w:t>
            </w:r>
          </w:p>
        </w:tc>
        <w:tc>
          <w:tcPr>
            <w:tcW w:w="2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E16D7">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正泰多功能电表</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4B6D0">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16F47">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6</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DC8C8">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包工包辅料</w:t>
            </w:r>
          </w:p>
        </w:tc>
      </w:tr>
      <w:tr w14:paraId="2E4815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EB234">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10</w:t>
            </w:r>
          </w:p>
        </w:tc>
        <w:tc>
          <w:tcPr>
            <w:tcW w:w="8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436D86">
            <w:pPr>
              <w:jc w:val="center"/>
              <w:rPr>
                <w:rFonts w:hint="default" w:ascii="仿宋_GB2312" w:hAnsi="等线" w:eastAsia="仿宋_GB2312" w:cs="仿宋_GB2312"/>
                <w:i w:val="0"/>
                <w:iCs w:val="0"/>
                <w:color w:val="000000"/>
                <w:sz w:val="20"/>
                <w:szCs w:val="20"/>
                <w:u w:val="none"/>
              </w:rPr>
            </w:pPr>
          </w:p>
        </w:tc>
        <w:tc>
          <w:tcPr>
            <w:tcW w:w="2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74490">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电流互感器</w:t>
            </w:r>
          </w:p>
        </w:tc>
        <w:tc>
          <w:tcPr>
            <w:tcW w:w="2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928F7">
            <w:pPr>
              <w:jc w:val="center"/>
              <w:rPr>
                <w:rFonts w:hint="default" w:ascii="仿宋_GB2312" w:hAnsi="等线" w:eastAsia="仿宋_GB2312" w:cs="仿宋_GB2312"/>
                <w:i w:val="0"/>
                <w:iCs w:val="0"/>
                <w:color w:val="000000"/>
                <w:sz w:val="20"/>
                <w:szCs w:val="20"/>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EDA51">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11D56">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18</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B7214">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包工包辅料</w:t>
            </w:r>
          </w:p>
        </w:tc>
      </w:tr>
      <w:tr w14:paraId="54D0FF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EA39A">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11</w:t>
            </w:r>
          </w:p>
        </w:tc>
        <w:tc>
          <w:tcPr>
            <w:tcW w:w="8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8CA145">
            <w:pPr>
              <w:jc w:val="center"/>
              <w:rPr>
                <w:rFonts w:hint="default" w:ascii="仿宋_GB2312" w:hAnsi="等线" w:eastAsia="仿宋_GB2312" w:cs="仿宋_GB2312"/>
                <w:i w:val="0"/>
                <w:iCs w:val="0"/>
                <w:color w:val="000000"/>
                <w:sz w:val="20"/>
                <w:szCs w:val="20"/>
                <w:u w:val="none"/>
              </w:rPr>
            </w:pPr>
          </w:p>
        </w:tc>
        <w:tc>
          <w:tcPr>
            <w:tcW w:w="2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043AB">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通信电缆</w:t>
            </w:r>
          </w:p>
        </w:tc>
        <w:tc>
          <w:tcPr>
            <w:tcW w:w="2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B30CC">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modbus电缆</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F1488">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米</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EBB87">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1500</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EBCC7">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包工包辅料</w:t>
            </w:r>
          </w:p>
        </w:tc>
      </w:tr>
      <w:tr w14:paraId="56C4D0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A8AFA">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12</w:t>
            </w:r>
          </w:p>
        </w:tc>
        <w:tc>
          <w:tcPr>
            <w:tcW w:w="8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D1F82C">
            <w:pPr>
              <w:jc w:val="center"/>
              <w:rPr>
                <w:rFonts w:hint="default" w:ascii="仿宋_GB2312" w:hAnsi="等线" w:eastAsia="仿宋_GB2312" w:cs="仿宋_GB2312"/>
                <w:i w:val="0"/>
                <w:iCs w:val="0"/>
                <w:color w:val="000000"/>
                <w:sz w:val="20"/>
                <w:szCs w:val="20"/>
                <w:u w:val="none"/>
              </w:rPr>
            </w:pPr>
          </w:p>
        </w:tc>
        <w:tc>
          <w:tcPr>
            <w:tcW w:w="2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27519">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PLC通讯模块</w:t>
            </w:r>
          </w:p>
        </w:tc>
        <w:tc>
          <w:tcPr>
            <w:tcW w:w="2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BF652">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smart200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92651">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A2612">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4</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1A5CB">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包工包辅料</w:t>
            </w:r>
          </w:p>
        </w:tc>
      </w:tr>
      <w:tr w14:paraId="1F63F3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62C55">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13</w:t>
            </w:r>
          </w:p>
        </w:tc>
        <w:tc>
          <w:tcPr>
            <w:tcW w:w="8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09B0AC">
            <w:pPr>
              <w:jc w:val="center"/>
              <w:rPr>
                <w:rFonts w:hint="default" w:ascii="仿宋_GB2312" w:hAnsi="等线" w:eastAsia="仿宋_GB2312" w:cs="仿宋_GB2312"/>
                <w:i w:val="0"/>
                <w:iCs w:val="0"/>
                <w:color w:val="000000"/>
                <w:sz w:val="20"/>
                <w:szCs w:val="20"/>
                <w:u w:val="none"/>
              </w:rPr>
            </w:pPr>
          </w:p>
        </w:tc>
        <w:tc>
          <w:tcPr>
            <w:tcW w:w="2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22B20">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工控机</w:t>
            </w:r>
          </w:p>
        </w:tc>
        <w:tc>
          <w:tcPr>
            <w:tcW w:w="2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A4F00">
            <w:pPr>
              <w:jc w:val="center"/>
              <w:rPr>
                <w:rFonts w:hint="default" w:ascii="仿宋_GB2312" w:hAnsi="等线" w:eastAsia="仿宋_GB2312" w:cs="仿宋_GB2312"/>
                <w:i w:val="0"/>
                <w:iCs w:val="0"/>
                <w:color w:val="000000"/>
                <w:sz w:val="20"/>
                <w:szCs w:val="20"/>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B9B93">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43EAB">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1</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FF964">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包工包辅料</w:t>
            </w:r>
          </w:p>
        </w:tc>
      </w:tr>
      <w:tr w14:paraId="213D35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4FBF6">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14</w:t>
            </w:r>
          </w:p>
        </w:tc>
        <w:tc>
          <w:tcPr>
            <w:tcW w:w="8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96D549">
            <w:pPr>
              <w:jc w:val="center"/>
              <w:rPr>
                <w:rFonts w:hint="default" w:ascii="仿宋_GB2312" w:hAnsi="等线" w:eastAsia="仿宋_GB2312" w:cs="仿宋_GB2312"/>
                <w:i w:val="0"/>
                <w:iCs w:val="0"/>
                <w:color w:val="000000"/>
                <w:sz w:val="20"/>
                <w:szCs w:val="20"/>
                <w:u w:val="none"/>
              </w:rPr>
            </w:pPr>
          </w:p>
        </w:tc>
        <w:tc>
          <w:tcPr>
            <w:tcW w:w="2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F37D1">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采集通信网关</w:t>
            </w:r>
          </w:p>
        </w:tc>
        <w:tc>
          <w:tcPr>
            <w:tcW w:w="2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940CB">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巨控/映翰通</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1235F">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8695C">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1</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F7B84">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包工包辅料</w:t>
            </w:r>
          </w:p>
        </w:tc>
      </w:tr>
      <w:tr w14:paraId="140EE8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AE2E4">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15</w:t>
            </w:r>
          </w:p>
        </w:tc>
        <w:tc>
          <w:tcPr>
            <w:tcW w:w="8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D61873">
            <w:pPr>
              <w:jc w:val="center"/>
              <w:rPr>
                <w:rFonts w:hint="default" w:ascii="仿宋_GB2312" w:hAnsi="等线" w:eastAsia="仿宋_GB2312" w:cs="仿宋_GB2312"/>
                <w:i w:val="0"/>
                <w:iCs w:val="0"/>
                <w:color w:val="000000"/>
                <w:sz w:val="20"/>
                <w:szCs w:val="20"/>
                <w:u w:val="none"/>
              </w:rPr>
            </w:pPr>
          </w:p>
        </w:tc>
        <w:tc>
          <w:tcPr>
            <w:tcW w:w="2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882C8">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分支SDWAN设备</w:t>
            </w:r>
          </w:p>
        </w:tc>
        <w:tc>
          <w:tcPr>
            <w:tcW w:w="2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04ADA">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天融信SDWAN设备</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8D28A">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9AD19">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1</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31DFF">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包工包辅料</w:t>
            </w:r>
          </w:p>
        </w:tc>
      </w:tr>
      <w:tr w14:paraId="5E2BB7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AC2CB">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16</w:t>
            </w:r>
          </w:p>
        </w:tc>
        <w:tc>
          <w:tcPr>
            <w:tcW w:w="8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6A5273">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红石崖水厂</w:t>
            </w:r>
          </w:p>
        </w:tc>
        <w:tc>
          <w:tcPr>
            <w:tcW w:w="2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1DFC0">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制水流量计</w:t>
            </w:r>
          </w:p>
        </w:tc>
        <w:tc>
          <w:tcPr>
            <w:tcW w:w="2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54A43">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上海泗博HART/MODBUS网关</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58262">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1CCC1">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3</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5B722">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包工包辅料</w:t>
            </w:r>
          </w:p>
        </w:tc>
      </w:tr>
      <w:tr w14:paraId="4394F4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BA2FA">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17</w:t>
            </w:r>
          </w:p>
        </w:tc>
        <w:tc>
          <w:tcPr>
            <w:tcW w:w="8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CF5F78">
            <w:pPr>
              <w:jc w:val="center"/>
              <w:rPr>
                <w:rFonts w:hint="default" w:ascii="仿宋_GB2312" w:hAnsi="等线" w:eastAsia="仿宋_GB2312" w:cs="仿宋_GB2312"/>
                <w:i w:val="0"/>
                <w:iCs w:val="0"/>
                <w:color w:val="000000"/>
                <w:sz w:val="20"/>
                <w:szCs w:val="20"/>
                <w:u w:val="none"/>
              </w:rPr>
            </w:pPr>
          </w:p>
        </w:tc>
        <w:tc>
          <w:tcPr>
            <w:tcW w:w="2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D119A">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供水流量计</w:t>
            </w:r>
          </w:p>
        </w:tc>
        <w:tc>
          <w:tcPr>
            <w:tcW w:w="2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7BF24">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上海泗博HART/MODBUS网关</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3CFA3">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9CBDA">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2</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04BB3">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包工包辅料</w:t>
            </w:r>
          </w:p>
        </w:tc>
      </w:tr>
      <w:tr w14:paraId="76CCD2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72DC2">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18</w:t>
            </w:r>
          </w:p>
        </w:tc>
        <w:tc>
          <w:tcPr>
            <w:tcW w:w="8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C92307">
            <w:pPr>
              <w:jc w:val="center"/>
              <w:rPr>
                <w:rFonts w:hint="default" w:ascii="仿宋_GB2312" w:hAnsi="等线" w:eastAsia="仿宋_GB2312" w:cs="仿宋_GB2312"/>
                <w:i w:val="0"/>
                <w:iCs w:val="0"/>
                <w:color w:val="000000"/>
                <w:sz w:val="20"/>
                <w:szCs w:val="20"/>
                <w:u w:val="none"/>
              </w:rPr>
            </w:pPr>
          </w:p>
        </w:tc>
        <w:tc>
          <w:tcPr>
            <w:tcW w:w="2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25EDC">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电表改造</w:t>
            </w:r>
          </w:p>
        </w:tc>
        <w:tc>
          <w:tcPr>
            <w:tcW w:w="2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30F89">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正泰多功能电表</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4A472">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ED149">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8</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5A418">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包工包辅料</w:t>
            </w:r>
          </w:p>
        </w:tc>
      </w:tr>
      <w:tr w14:paraId="3F8DA8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D0781">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19</w:t>
            </w:r>
          </w:p>
        </w:tc>
        <w:tc>
          <w:tcPr>
            <w:tcW w:w="8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CC549B">
            <w:pPr>
              <w:jc w:val="center"/>
              <w:rPr>
                <w:rFonts w:hint="default" w:ascii="仿宋_GB2312" w:hAnsi="等线" w:eastAsia="仿宋_GB2312" w:cs="仿宋_GB2312"/>
                <w:i w:val="0"/>
                <w:iCs w:val="0"/>
                <w:color w:val="000000"/>
                <w:sz w:val="20"/>
                <w:szCs w:val="20"/>
                <w:u w:val="none"/>
              </w:rPr>
            </w:pPr>
          </w:p>
        </w:tc>
        <w:tc>
          <w:tcPr>
            <w:tcW w:w="2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E0A85">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仪表电缆安装</w:t>
            </w:r>
          </w:p>
        </w:tc>
        <w:tc>
          <w:tcPr>
            <w:tcW w:w="2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33E16">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安装/电缆敷设施工</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D881E">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A2FA7">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1</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493C7">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包工包辅料</w:t>
            </w:r>
          </w:p>
        </w:tc>
      </w:tr>
      <w:tr w14:paraId="2230C2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339DD">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20</w:t>
            </w:r>
          </w:p>
        </w:tc>
        <w:tc>
          <w:tcPr>
            <w:tcW w:w="8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49C867">
            <w:pPr>
              <w:jc w:val="center"/>
              <w:rPr>
                <w:rFonts w:hint="default" w:ascii="仿宋_GB2312" w:hAnsi="等线" w:eastAsia="仿宋_GB2312" w:cs="仿宋_GB2312"/>
                <w:i w:val="0"/>
                <w:iCs w:val="0"/>
                <w:color w:val="000000"/>
                <w:sz w:val="20"/>
                <w:szCs w:val="20"/>
                <w:u w:val="none"/>
              </w:rPr>
            </w:pPr>
          </w:p>
        </w:tc>
        <w:tc>
          <w:tcPr>
            <w:tcW w:w="2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F74BE">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通信电缆</w:t>
            </w:r>
          </w:p>
        </w:tc>
        <w:tc>
          <w:tcPr>
            <w:tcW w:w="2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56B82">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modbus电缆</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515DD">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米</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E4C80">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600</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E61FC">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包工包辅料</w:t>
            </w:r>
          </w:p>
        </w:tc>
      </w:tr>
      <w:tr w14:paraId="22AA5A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5DEF0">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21</w:t>
            </w:r>
          </w:p>
        </w:tc>
        <w:tc>
          <w:tcPr>
            <w:tcW w:w="8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D542DC">
            <w:pPr>
              <w:jc w:val="center"/>
              <w:rPr>
                <w:rFonts w:hint="default" w:ascii="仿宋_GB2312" w:hAnsi="等线" w:eastAsia="仿宋_GB2312" w:cs="仿宋_GB2312"/>
                <w:i w:val="0"/>
                <w:iCs w:val="0"/>
                <w:color w:val="000000"/>
                <w:sz w:val="20"/>
                <w:szCs w:val="20"/>
                <w:u w:val="none"/>
              </w:rPr>
            </w:pPr>
          </w:p>
        </w:tc>
        <w:tc>
          <w:tcPr>
            <w:tcW w:w="2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372BC">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PLC通讯模块</w:t>
            </w:r>
          </w:p>
        </w:tc>
        <w:tc>
          <w:tcPr>
            <w:tcW w:w="2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31919">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smart200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773DE">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934B6">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4</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368C5">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包工包辅料</w:t>
            </w:r>
          </w:p>
        </w:tc>
      </w:tr>
      <w:tr w14:paraId="345AC5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0085B">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22</w:t>
            </w:r>
          </w:p>
        </w:tc>
        <w:tc>
          <w:tcPr>
            <w:tcW w:w="8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003145">
            <w:pPr>
              <w:jc w:val="center"/>
              <w:rPr>
                <w:rFonts w:hint="default" w:ascii="仿宋_GB2312" w:hAnsi="等线" w:eastAsia="仿宋_GB2312" w:cs="仿宋_GB2312"/>
                <w:i w:val="0"/>
                <w:iCs w:val="0"/>
                <w:color w:val="000000"/>
                <w:sz w:val="20"/>
                <w:szCs w:val="20"/>
                <w:u w:val="none"/>
              </w:rPr>
            </w:pPr>
          </w:p>
        </w:tc>
        <w:tc>
          <w:tcPr>
            <w:tcW w:w="2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0794F">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工控机</w:t>
            </w:r>
          </w:p>
        </w:tc>
        <w:tc>
          <w:tcPr>
            <w:tcW w:w="2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8903B">
            <w:pPr>
              <w:jc w:val="center"/>
              <w:rPr>
                <w:rFonts w:hint="default" w:ascii="仿宋_GB2312" w:hAnsi="等线" w:eastAsia="仿宋_GB2312" w:cs="仿宋_GB2312"/>
                <w:i w:val="0"/>
                <w:iCs w:val="0"/>
                <w:color w:val="000000"/>
                <w:sz w:val="20"/>
                <w:szCs w:val="20"/>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7A7CE">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1295C">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1</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65557">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包工包辅料</w:t>
            </w:r>
          </w:p>
        </w:tc>
      </w:tr>
      <w:tr w14:paraId="636CFC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3CEA8">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23</w:t>
            </w:r>
          </w:p>
        </w:tc>
        <w:tc>
          <w:tcPr>
            <w:tcW w:w="8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0A56BE">
            <w:pPr>
              <w:jc w:val="center"/>
              <w:rPr>
                <w:rFonts w:hint="default" w:ascii="仿宋_GB2312" w:hAnsi="等线" w:eastAsia="仿宋_GB2312" w:cs="仿宋_GB2312"/>
                <w:i w:val="0"/>
                <w:iCs w:val="0"/>
                <w:color w:val="000000"/>
                <w:sz w:val="20"/>
                <w:szCs w:val="20"/>
                <w:u w:val="none"/>
              </w:rPr>
            </w:pPr>
          </w:p>
        </w:tc>
        <w:tc>
          <w:tcPr>
            <w:tcW w:w="2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50053">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采集通信网关</w:t>
            </w:r>
          </w:p>
        </w:tc>
        <w:tc>
          <w:tcPr>
            <w:tcW w:w="2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8E192">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巨控/映翰通</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38246">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B6C31">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1</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F9A65">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包工包辅料</w:t>
            </w:r>
          </w:p>
        </w:tc>
      </w:tr>
      <w:tr w14:paraId="571BC4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7405B">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24</w:t>
            </w:r>
          </w:p>
        </w:tc>
        <w:tc>
          <w:tcPr>
            <w:tcW w:w="8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C700D4">
            <w:pPr>
              <w:jc w:val="center"/>
              <w:rPr>
                <w:rFonts w:hint="default" w:ascii="仿宋_GB2312" w:hAnsi="等线" w:eastAsia="仿宋_GB2312" w:cs="仿宋_GB2312"/>
                <w:i w:val="0"/>
                <w:iCs w:val="0"/>
                <w:color w:val="000000"/>
                <w:sz w:val="20"/>
                <w:szCs w:val="20"/>
                <w:u w:val="none"/>
              </w:rPr>
            </w:pPr>
          </w:p>
        </w:tc>
        <w:tc>
          <w:tcPr>
            <w:tcW w:w="2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7CBD6">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分支SDWAN设备</w:t>
            </w:r>
          </w:p>
        </w:tc>
        <w:tc>
          <w:tcPr>
            <w:tcW w:w="2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B9E23">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天融信SDWAN设备</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C36CF">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7C13A">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1</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69211">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包工包辅料</w:t>
            </w:r>
          </w:p>
        </w:tc>
      </w:tr>
      <w:tr w14:paraId="4611C9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B5F19">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25</w:t>
            </w:r>
          </w:p>
        </w:tc>
        <w:tc>
          <w:tcPr>
            <w:tcW w:w="8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EAB1B3">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红石崖泵站</w:t>
            </w:r>
          </w:p>
        </w:tc>
        <w:tc>
          <w:tcPr>
            <w:tcW w:w="2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50AAA">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取水流量计</w:t>
            </w:r>
          </w:p>
        </w:tc>
        <w:tc>
          <w:tcPr>
            <w:tcW w:w="2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82DC6">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上海泗博HART/MODBUS网关</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F2299">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48932">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2</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823AB">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包工包辅料</w:t>
            </w:r>
          </w:p>
        </w:tc>
      </w:tr>
      <w:tr w14:paraId="162653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29F79">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26</w:t>
            </w:r>
          </w:p>
        </w:tc>
        <w:tc>
          <w:tcPr>
            <w:tcW w:w="8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52F0B7">
            <w:pPr>
              <w:jc w:val="center"/>
              <w:rPr>
                <w:rFonts w:hint="default" w:ascii="仿宋_GB2312" w:hAnsi="等线" w:eastAsia="仿宋_GB2312" w:cs="仿宋_GB2312"/>
                <w:i w:val="0"/>
                <w:iCs w:val="0"/>
                <w:color w:val="000000"/>
                <w:sz w:val="20"/>
                <w:szCs w:val="20"/>
                <w:u w:val="none"/>
              </w:rPr>
            </w:pPr>
          </w:p>
        </w:tc>
        <w:tc>
          <w:tcPr>
            <w:tcW w:w="2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2DCD8">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电缆</w:t>
            </w:r>
          </w:p>
        </w:tc>
        <w:tc>
          <w:tcPr>
            <w:tcW w:w="2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549E7">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安装/电缆敷设施工</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00143">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米</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A3C3E">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750</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28893">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包工包辅料</w:t>
            </w:r>
          </w:p>
        </w:tc>
      </w:tr>
      <w:tr w14:paraId="20F2F8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094FE">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27</w:t>
            </w:r>
          </w:p>
        </w:tc>
        <w:tc>
          <w:tcPr>
            <w:tcW w:w="8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235D46">
            <w:pPr>
              <w:jc w:val="center"/>
              <w:rPr>
                <w:rFonts w:hint="default" w:ascii="仿宋_GB2312" w:hAnsi="等线" w:eastAsia="仿宋_GB2312" w:cs="仿宋_GB2312"/>
                <w:i w:val="0"/>
                <w:iCs w:val="0"/>
                <w:color w:val="000000"/>
                <w:sz w:val="20"/>
                <w:szCs w:val="20"/>
                <w:u w:val="none"/>
              </w:rPr>
            </w:pPr>
          </w:p>
        </w:tc>
        <w:tc>
          <w:tcPr>
            <w:tcW w:w="2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8BE31">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PLC通讯模块</w:t>
            </w:r>
          </w:p>
        </w:tc>
        <w:tc>
          <w:tcPr>
            <w:tcW w:w="2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14B67">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smart200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850FE">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DED1F">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1</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88B0A">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包工包辅料</w:t>
            </w:r>
          </w:p>
        </w:tc>
      </w:tr>
      <w:tr w14:paraId="45F4BF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987ED">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28</w:t>
            </w:r>
          </w:p>
        </w:tc>
        <w:tc>
          <w:tcPr>
            <w:tcW w:w="8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16F27F">
            <w:pPr>
              <w:jc w:val="center"/>
              <w:rPr>
                <w:rFonts w:hint="default" w:ascii="仿宋_GB2312" w:hAnsi="等线" w:eastAsia="仿宋_GB2312" w:cs="仿宋_GB2312"/>
                <w:i w:val="0"/>
                <w:iCs w:val="0"/>
                <w:color w:val="000000"/>
                <w:sz w:val="20"/>
                <w:szCs w:val="20"/>
                <w:u w:val="none"/>
              </w:rPr>
            </w:pPr>
          </w:p>
        </w:tc>
        <w:tc>
          <w:tcPr>
            <w:tcW w:w="2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6BA03">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工控机</w:t>
            </w:r>
          </w:p>
        </w:tc>
        <w:tc>
          <w:tcPr>
            <w:tcW w:w="2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61FB3">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wincc7.4</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C7C51">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4F126">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1</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9BD0C">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包工包辅料</w:t>
            </w:r>
          </w:p>
        </w:tc>
      </w:tr>
      <w:tr w14:paraId="3239CB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1774B">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29</w:t>
            </w:r>
          </w:p>
        </w:tc>
        <w:tc>
          <w:tcPr>
            <w:tcW w:w="8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308ABE">
            <w:pPr>
              <w:jc w:val="center"/>
              <w:rPr>
                <w:rFonts w:hint="default" w:ascii="仿宋_GB2312" w:hAnsi="等线" w:eastAsia="仿宋_GB2312" w:cs="仿宋_GB2312"/>
                <w:i w:val="0"/>
                <w:iCs w:val="0"/>
                <w:color w:val="000000"/>
                <w:sz w:val="20"/>
                <w:szCs w:val="20"/>
                <w:u w:val="none"/>
              </w:rPr>
            </w:pPr>
          </w:p>
        </w:tc>
        <w:tc>
          <w:tcPr>
            <w:tcW w:w="2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FD4E9">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采集通信网关</w:t>
            </w:r>
          </w:p>
        </w:tc>
        <w:tc>
          <w:tcPr>
            <w:tcW w:w="2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8690A">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巨控/映翰通</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87EE3">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4DBB8">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1</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38E2E">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包工包辅料</w:t>
            </w:r>
          </w:p>
        </w:tc>
      </w:tr>
      <w:tr w14:paraId="6B1AFA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C5DE9">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30</w:t>
            </w:r>
          </w:p>
        </w:tc>
        <w:tc>
          <w:tcPr>
            <w:tcW w:w="8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E0F72D">
            <w:pPr>
              <w:jc w:val="center"/>
              <w:rPr>
                <w:rFonts w:hint="default" w:ascii="仿宋_GB2312" w:hAnsi="等线" w:eastAsia="仿宋_GB2312" w:cs="仿宋_GB2312"/>
                <w:i w:val="0"/>
                <w:iCs w:val="0"/>
                <w:color w:val="000000"/>
                <w:sz w:val="20"/>
                <w:szCs w:val="20"/>
                <w:u w:val="none"/>
              </w:rPr>
            </w:pPr>
          </w:p>
        </w:tc>
        <w:tc>
          <w:tcPr>
            <w:tcW w:w="2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1512F">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分支SDWAN设备</w:t>
            </w:r>
          </w:p>
        </w:tc>
        <w:tc>
          <w:tcPr>
            <w:tcW w:w="2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C4248">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天融信SDWAN设备</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2EF3C">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194FA">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1</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52833">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包工包辅料</w:t>
            </w:r>
          </w:p>
        </w:tc>
      </w:tr>
      <w:tr w14:paraId="4D0A4F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ACC9E">
            <w:pPr>
              <w:keepNext w:val="0"/>
              <w:keepLines w:val="0"/>
              <w:widowControl/>
              <w:suppressLineNumbers w:val="0"/>
              <w:jc w:val="center"/>
              <w:textAlignment w:val="center"/>
              <w:rPr>
                <w:rFonts w:hint="default" w:ascii="仿宋_GB2312" w:hAnsi="等线" w:eastAsia="仿宋_GB2312" w:cs="仿宋_GB2312"/>
                <w:i w:val="0"/>
                <w:iCs w:val="0"/>
                <w:snapToGrid w:val="0"/>
                <w:color w:val="000000"/>
                <w:kern w:val="0"/>
                <w:sz w:val="20"/>
                <w:szCs w:val="20"/>
                <w:u w:val="none"/>
                <w:lang w:val="en-US" w:eastAsia="zh-CN" w:bidi="ar"/>
              </w:rPr>
            </w:pPr>
            <w:r>
              <w:rPr>
                <w:rFonts w:hint="eastAsia" w:ascii="仿宋_GB2312" w:hAnsi="等线" w:eastAsia="仿宋_GB2312" w:cs="仿宋_GB2312"/>
                <w:i w:val="0"/>
                <w:iCs w:val="0"/>
                <w:snapToGrid w:val="0"/>
                <w:color w:val="000000"/>
                <w:kern w:val="0"/>
                <w:sz w:val="20"/>
                <w:szCs w:val="20"/>
                <w:u w:val="none"/>
                <w:lang w:val="en-US" w:eastAsia="zh-CN" w:bidi="ar"/>
              </w:rPr>
              <w:t>31</w:t>
            </w:r>
          </w:p>
        </w:tc>
        <w:tc>
          <w:tcPr>
            <w:tcW w:w="34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6FE6DE">
            <w:pPr>
              <w:keepNext w:val="0"/>
              <w:keepLines w:val="0"/>
              <w:widowControl/>
              <w:suppressLineNumbers w:val="0"/>
              <w:jc w:val="center"/>
              <w:textAlignment w:val="center"/>
              <w:rPr>
                <w:rFonts w:hint="default" w:ascii="仿宋_GB2312" w:hAnsi="等线" w:eastAsia="仿宋_GB2312" w:cs="仿宋_GB2312"/>
                <w:i w:val="0"/>
                <w:iCs w:val="0"/>
                <w:snapToGrid w:val="0"/>
                <w:color w:val="000000"/>
                <w:kern w:val="0"/>
                <w:sz w:val="20"/>
                <w:szCs w:val="20"/>
                <w:u w:val="none"/>
                <w:lang w:val="en-US" w:eastAsia="zh-CN" w:bidi="ar"/>
              </w:rPr>
            </w:pPr>
            <w:r>
              <w:rPr>
                <w:rFonts w:hint="eastAsia" w:ascii="仿宋_GB2312" w:hAnsi="等线" w:eastAsia="仿宋_GB2312" w:cs="仿宋_GB2312"/>
                <w:b/>
                <w:bCs/>
                <w:i w:val="0"/>
                <w:iCs w:val="0"/>
                <w:snapToGrid w:val="0"/>
                <w:color w:val="000000"/>
                <w:kern w:val="0"/>
                <w:sz w:val="18"/>
                <w:szCs w:val="18"/>
                <w:u w:val="none"/>
                <w:lang w:val="en-US" w:eastAsia="zh-CN" w:bidi="ar"/>
              </w:rPr>
              <w:t>两厂两站wicc系统升级及数据录入费</w:t>
            </w:r>
          </w:p>
        </w:tc>
        <w:tc>
          <w:tcPr>
            <w:tcW w:w="2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CA105">
            <w:pPr>
              <w:keepNext w:val="0"/>
              <w:keepLines w:val="0"/>
              <w:widowControl/>
              <w:suppressLineNumbers w:val="0"/>
              <w:jc w:val="center"/>
              <w:textAlignment w:val="center"/>
              <w:rPr>
                <w:rFonts w:hint="default" w:ascii="仿宋_GB2312" w:hAnsi="等线" w:eastAsia="仿宋_GB2312" w:cs="仿宋_GB2312"/>
                <w:i w:val="0"/>
                <w:iCs w:val="0"/>
                <w:snapToGrid w:val="0"/>
                <w:color w:val="000000"/>
                <w:kern w:val="0"/>
                <w:sz w:val="20"/>
                <w:szCs w:val="20"/>
                <w:u w:val="none"/>
                <w:lang w:val="en-US" w:eastAsia="zh-CN" w:bidi="ar"/>
              </w:rPr>
            </w:pPr>
            <w:r>
              <w:rPr>
                <w:rFonts w:hint="default" w:ascii="仿宋_GB2312" w:hAnsi="等线" w:eastAsia="仿宋_GB2312" w:cs="仿宋_GB2312"/>
                <w:b/>
                <w:bCs/>
                <w:i w:val="0"/>
                <w:iCs w:val="0"/>
                <w:snapToGrid w:val="0"/>
                <w:color w:val="000000"/>
                <w:kern w:val="0"/>
                <w:sz w:val="20"/>
                <w:szCs w:val="20"/>
                <w:u w:val="none"/>
                <w:lang w:val="en-US" w:eastAsia="zh-CN" w:bidi="ar"/>
              </w:rPr>
              <w:t>wincc 7.4</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4316D">
            <w:pPr>
              <w:keepNext w:val="0"/>
              <w:keepLines w:val="0"/>
              <w:widowControl/>
              <w:suppressLineNumbers w:val="0"/>
              <w:jc w:val="center"/>
              <w:textAlignment w:val="center"/>
              <w:rPr>
                <w:rFonts w:hint="default" w:ascii="仿宋_GB2312" w:hAnsi="等线" w:eastAsia="仿宋_GB2312" w:cs="仿宋_GB2312"/>
                <w:i w:val="0"/>
                <w:iCs w:val="0"/>
                <w:snapToGrid w:val="0"/>
                <w:color w:val="000000"/>
                <w:kern w:val="0"/>
                <w:sz w:val="20"/>
                <w:szCs w:val="20"/>
                <w:u w:val="none"/>
                <w:lang w:val="en-US" w:eastAsia="zh-CN" w:bidi="ar"/>
              </w:rPr>
            </w:pPr>
            <w:r>
              <w:rPr>
                <w:rFonts w:hint="eastAsia" w:ascii="仿宋_GB2312" w:hAnsi="等线" w:eastAsia="仿宋_GB2312" w:cs="仿宋_GB2312"/>
                <w:i w:val="0"/>
                <w:iCs w:val="0"/>
                <w:snapToGrid w:val="0"/>
                <w:color w:val="000000"/>
                <w:kern w:val="0"/>
                <w:sz w:val="20"/>
                <w:szCs w:val="20"/>
                <w:u w:val="none"/>
                <w:lang w:val="en-US" w:eastAsia="zh-CN" w:bidi="ar"/>
              </w:rPr>
              <w:t>项</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F8225">
            <w:pPr>
              <w:keepNext w:val="0"/>
              <w:keepLines w:val="0"/>
              <w:widowControl/>
              <w:suppressLineNumbers w:val="0"/>
              <w:jc w:val="center"/>
              <w:textAlignment w:val="center"/>
              <w:rPr>
                <w:rFonts w:hint="default" w:ascii="仿宋_GB2312" w:hAnsi="等线" w:eastAsia="仿宋_GB2312" w:cs="仿宋_GB2312"/>
                <w:i w:val="0"/>
                <w:iCs w:val="0"/>
                <w:snapToGrid w:val="0"/>
                <w:color w:val="000000"/>
                <w:kern w:val="0"/>
                <w:sz w:val="20"/>
                <w:szCs w:val="20"/>
                <w:u w:val="none"/>
                <w:lang w:val="en-US" w:eastAsia="zh-CN" w:bidi="ar"/>
              </w:rPr>
            </w:pPr>
            <w:r>
              <w:rPr>
                <w:rFonts w:hint="eastAsia" w:ascii="仿宋_GB2312" w:hAnsi="等线" w:eastAsia="仿宋_GB2312" w:cs="仿宋_GB2312"/>
                <w:i w:val="0"/>
                <w:iCs w:val="0"/>
                <w:snapToGrid w:val="0"/>
                <w:color w:val="000000"/>
                <w:kern w:val="0"/>
                <w:sz w:val="20"/>
                <w:szCs w:val="20"/>
                <w:u w:val="none"/>
                <w:lang w:val="en-US" w:eastAsia="zh-CN" w:bidi="ar"/>
              </w:rPr>
              <w:t>1</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77191">
            <w:pPr>
              <w:keepNext w:val="0"/>
              <w:keepLines w:val="0"/>
              <w:widowControl/>
              <w:suppressLineNumbers w:val="0"/>
              <w:jc w:val="center"/>
              <w:textAlignment w:val="center"/>
              <w:rPr>
                <w:rFonts w:hint="default" w:ascii="仿宋_GB2312" w:hAnsi="等线" w:eastAsia="仿宋_GB2312" w:cs="仿宋_GB2312"/>
                <w:i w:val="0"/>
                <w:iCs w:val="0"/>
                <w:snapToGrid w:val="0"/>
                <w:color w:val="000000"/>
                <w:kern w:val="0"/>
                <w:sz w:val="20"/>
                <w:szCs w:val="20"/>
                <w:u w:val="none"/>
                <w:lang w:val="en-US" w:eastAsia="zh-CN" w:bidi="ar"/>
              </w:rPr>
            </w:pPr>
          </w:p>
        </w:tc>
      </w:tr>
      <w:tr w14:paraId="4AD247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10303"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19BD684C">
            <w:pPr>
              <w:keepNext w:val="0"/>
              <w:keepLines w:val="0"/>
              <w:widowControl/>
              <w:suppressLineNumbers w:val="0"/>
              <w:jc w:val="left"/>
              <w:textAlignment w:val="center"/>
              <w:rPr>
                <w:rFonts w:hint="default" w:ascii="仿宋_GB2312" w:hAnsi="等线" w:eastAsia="仿宋_GB2312" w:cs="仿宋_GB2312"/>
                <w:b/>
                <w:bCs/>
                <w:i w:val="0"/>
                <w:iCs w:val="0"/>
                <w:color w:val="000000"/>
                <w:sz w:val="20"/>
                <w:szCs w:val="20"/>
                <w:u w:val="none"/>
                <w:lang w:val="en-US"/>
              </w:rPr>
            </w:pPr>
            <w:r>
              <w:rPr>
                <w:rFonts w:hint="default" w:ascii="仿宋_GB2312" w:hAnsi="等线" w:eastAsia="仿宋_GB2312" w:cs="仿宋_GB2312"/>
                <w:b/>
                <w:bCs/>
                <w:i w:val="0"/>
                <w:iCs w:val="0"/>
                <w:snapToGrid w:val="0"/>
                <w:color w:val="000000"/>
                <w:kern w:val="0"/>
                <w:sz w:val="20"/>
                <w:szCs w:val="20"/>
                <w:u w:val="none"/>
                <w:lang w:val="en-US" w:eastAsia="zh-CN" w:bidi="ar"/>
              </w:rPr>
              <w:t>以上待安装设备安装费</w:t>
            </w:r>
            <w:r>
              <w:rPr>
                <w:rFonts w:hint="eastAsia" w:ascii="仿宋_GB2312" w:hAnsi="等线" w:eastAsia="仿宋_GB2312" w:cs="仿宋_GB2312"/>
                <w:b/>
                <w:bCs/>
                <w:i w:val="0"/>
                <w:iCs w:val="0"/>
                <w:snapToGrid w:val="0"/>
                <w:color w:val="000000"/>
                <w:kern w:val="0"/>
                <w:sz w:val="20"/>
                <w:szCs w:val="20"/>
                <w:u w:val="none"/>
                <w:lang w:val="en-US" w:eastAsia="zh-CN" w:bidi="ar"/>
              </w:rPr>
              <w:t>（第1至30项）</w:t>
            </w:r>
            <w:r>
              <w:rPr>
                <w:rFonts w:hint="default" w:ascii="仿宋_GB2312" w:hAnsi="等线" w:eastAsia="仿宋_GB2312" w:cs="仿宋_GB2312"/>
                <w:b/>
                <w:bCs/>
                <w:i w:val="0"/>
                <w:iCs w:val="0"/>
                <w:snapToGrid w:val="0"/>
                <w:color w:val="000000"/>
                <w:kern w:val="0"/>
                <w:sz w:val="20"/>
                <w:szCs w:val="20"/>
                <w:u w:val="none"/>
                <w:lang w:val="en-US" w:eastAsia="zh-CN" w:bidi="ar"/>
              </w:rPr>
              <w:t>控制价合计：人民币16700元整</w:t>
            </w:r>
            <w:r>
              <w:rPr>
                <w:rFonts w:hint="eastAsia" w:ascii="仿宋_GB2312" w:hAnsi="等线" w:eastAsia="仿宋_GB2312" w:cs="仿宋_GB2312"/>
                <w:b/>
                <w:bCs/>
                <w:i w:val="0"/>
                <w:iCs w:val="0"/>
                <w:snapToGrid w:val="0"/>
                <w:color w:val="000000"/>
                <w:kern w:val="0"/>
                <w:sz w:val="20"/>
                <w:szCs w:val="20"/>
                <w:u w:val="none"/>
                <w:lang w:val="en-US" w:eastAsia="zh-CN" w:bidi="ar"/>
              </w:rPr>
              <w:t>，人民币大写壹万陆仟柒佰元整。第31项</w:t>
            </w:r>
            <w:r>
              <w:rPr>
                <w:rFonts w:hint="default" w:ascii="仿宋_GB2312" w:hAnsi="等线" w:eastAsia="仿宋_GB2312" w:cs="仿宋_GB2312"/>
                <w:b/>
                <w:bCs/>
                <w:i w:val="0"/>
                <w:iCs w:val="0"/>
                <w:snapToGrid w:val="0"/>
                <w:color w:val="000000"/>
                <w:kern w:val="0"/>
                <w:sz w:val="20"/>
                <w:szCs w:val="20"/>
                <w:u w:val="none"/>
                <w:lang w:val="en-US" w:eastAsia="zh-CN" w:bidi="ar"/>
              </w:rPr>
              <w:t>控制价：人民币36000元整</w:t>
            </w:r>
            <w:r>
              <w:rPr>
                <w:rFonts w:hint="eastAsia" w:ascii="仿宋_GB2312" w:hAnsi="等线" w:eastAsia="仿宋_GB2312" w:cs="仿宋_GB2312"/>
                <w:b/>
                <w:bCs/>
                <w:i w:val="0"/>
                <w:iCs w:val="0"/>
                <w:snapToGrid w:val="0"/>
                <w:color w:val="000000"/>
                <w:kern w:val="0"/>
                <w:sz w:val="20"/>
                <w:szCs w:val="20"/>
                <w:u w:val="none"/>
                <w:lang w:val="en-US" w:eastAsia="zh-CN" w:bidi="ar"/>
              </w:rPr>
              <w:t>，人民币大写叁万陆仟元整。</w:t>
            </w:r>
          </w:p>
        </w:tc>
      </w:tr>
    </w:tbl>
    <w:p w14:paraId="25705D15">
      <w:pPr>
        <w:pageBreakBefore w:val="0"/>
        <w:widowControl w:val="0"/>
        <w:numPr>
          <w:ilvl w:val="0"/>
          <w:numId w:val="0"/>
        </w:numPr>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b/>
          <w:bCs/>
          <w:sz w:val="28"/>
          <w:szCs w:val="28"/>
          <w:highlight w:val="none"/>
          <w:vertAlign w:val="baseline"/>
          <w:lang w:val="en-US" w:eastAsia="zh-CN"/>
        </w:rPr>
      </w:pPr>
    </w:p>
    <w:p w14:paraId="2C2D9D0F">
      <w:pPr>
        <w:keepNext w:val="0"/>
        <w:keepLines w:val="0"/>
        <w:widowControl/>
        <w:numPr>
          <w:ilvl w:val="0"/>
          <w:numId w:val="0"/>
        </w:numPr>
        <w:suppressLineNumbers w:val="0"/>
        <w:spacing w:line="360" w:lineRule="auto"/>
        <w:ind w:firstLine="560" w:firstLineChars="200"/>
        <w:jc w:val="left"/>
        <w:textAlignment w:val="center"/>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vertAlign w:val="baseline"/>
          <w:lang w:val="en-US" w:eastAsia="zh-CN"/>
        </w:rPr>
        <w:t>3.报价要求：投标人分别按照“设备安装费、</w:t>
      </w:r>
      <w:r>
        <w:rPr>
          <w:rFonts w:hint="eastAsia" w:ascii="仿宋_GB2312" w:hAnsi="等线" w:eastAsia="仿宋_GB2312" w:cs="仿宋_GB2312"/>
          <w:b/>
          <w:bCs/>
          <w:i w:val="0"/>
          <w:iCs w:val="0"/>
          <w:snapToGrid w:val="0"/>
          <w:color w:val="000000"/>
          <w:kern w:val="0"/>
          <w:sz w:val="28"/>
          <w:szCs w:val="28"/>
          <w:u w:val="none"/>
          <w:lang w:val="en-US" w:eastAsia="zh-CN" w:bidi="ar"/>
        </w:rPr>
        <w:t>两厂两站wicc系统升级及数据录入费</w:t>
      </w:r>
      <w:r>
        <w:rPr>
          <w:rFonts w:hint="eastAsia" w:ascii="仿宋" w:hAnsi="仿宋" w:eastAsia="仿宋" w:cs="仿宋"/>
          <w:sz w:val="28"/>
          <w:szCs w:val="28"/>
          <w:highlight w:val="none"/>
          <w:vertAlign w:val="baseline"/>
          <w:lang w:val="en-US" w:eastAsia="zh-CN"/>
        </w:rPr>
        <w:t>两项进行报价”，</w:t>
      </w:r>
      <w:r>
        <w:rPr>
          <w:rFonts w:hint="eastAsia" w:ascii="仿宋" w:hAnsi="仿宋" w:eastAsia="仿宋" w:cs="仿宋"/>
          <w:b/>
          <w:bCs/>
          <w:sz w:val="28"/>
          <w:szCs w:val="28"/>
          <w:highlight w:val="none"/>
          <w:lang w:val="en-US" w:eastAsia="zh-CN"/>
        </w:rPr>
        <w:t>总报价必须低于总控制价，各单价必须低于控制单价，不得更改采购清单中的技术参数和数量，否则报价无效。</w:t>
      </w:r>
      <w:r>
        <w:rPr>
          <w:rFonts w:hint="eastAsia" w:ascii="仿宋" w:hAnsi="仿宋" w:eastAsia="仿宋" w:cs="仿宋"/>
          <w:spacing w:val="-2"/>
          <w:sz w:val="28"/>
          <w:szCs w:val="28"/>
          <w:highlight w:val="none"/>
          <w:lang w:val="en-US" w:eastAsia="zh-CN"/>
        </w:rPr>
        <w:t>投标</w:t>
      </w:r>
      <w:r>
        <w:rPr>
          <w:rFonts w:hint="eastAsia" w:ascii="仿宋" w:hAnsi="仿宋" w:eastAsia="仿宋" w:cs="仿宋"/>
          <w:spacing w:val="-2"/>
          <w:sz w:val="28"/>
          <w:szCs w:val="28"/>
          <w:highlight w:val="none"/>
        </w:rPr>
        <w:t>报价包括但不限于</w:t>
      </w:r>
      <w:r>
        <w:rPr>
          <w:rFonts w:hint="eastAsia" w:ascii="仿宋" w:hAnsi="仿宋" w:eastAsia="仿宋" w:cs="仿宋"/>
          <w:spacing w:val="-2"/>
          <w:sz w:val="28"/>
          <w:szCs w:val="28"/>
          <w:highlight w:val="none"/>
          <w:lang w:val="en-US" w:eastAsia="zh-CN"/>
        </w:rPr>
        <w:t>完成上述清单中的设备和软件安装、调试所需</w:t>
      </w:r>
      <w:r>
        <w:rPr>
          <w:rFonts w:hint="eastAsia" w:ascii="仿宋" w:hAnsi="仿宋" w:eastAsia="仿宋" w:cs="仿宋"/>
          <w:spacing w:val="-2"/>
          <w:sz w:val="28"/>
          <w:szCs w:val="28"/>
          <w:highlight w:val="none"/>
        </w:rPr>
        <w:t>的</w:t>
      </w:r>
      <w:r>
        <w:rPr>
          <w:rFonts w:hint="eastAsia" w:ascii="仿宋" w:hAnsi="仿宋" w:eastAsia="仿宋" w:cs="仿宋"/>
          <w:spacing w:val="-2"/>
          <w:sz w:val="28"/>
          <w:szCs w:val="28"/>
          <w:highlight w:val="none"/>
          <w:lang w:val="en-US" w:eastAsia="zh-CN"/>
        </w:rPr>
        <w:t>所有辅助</w:t>
      </w:r>
      <w:r>
        <w:rPr>
          <w:rFonts w:hint="eastAsia" w:ascii="仿宋" w:hAnsi="仿宋" w:eastAsia="仿宋" w:cs="仿宋"/>
          <w:w w:val="95"/>
          <w:sz w:val="28"/>
          <w:szCs w:val="28"/>
          <w:highlight w:val="none"/>
          <w:lang w:val="zh-CN" w:bidi="zh-CN"/>
        </w:rPr>
        <w:t>材料费、</w:t>
      </w:r>
      <w:r>
        <w:rPr>
          <w:rFonts w:hint="eastAsia" w:ascii="仿宋" w:hAnsi="仿宋" w:eastAsia="仿宋" w:cs="仿宋"/>
          <w:w w:val="95"/>
          <w:sz w:val="28"/>
          <w:szCs w:val="28"/>
          <w:highlight w:val="none"/>
          <w:lang w:val="en-US" w:bidi="zh-CN"/>
        </w:rPr>
        <w:t>辅助安装设备费、</w:t>
      </w:r>
      <w:r>
        <w:rPr>
          <w:rFonts w:hint="eastAsia" w:ascii="仿宋" w:hAnsi="仿宋" w:eastAsia="仿宋" w:cs="仿宋"/>
          <w:w w:val="95"/>
          <w:sz w:val="28"/>
          <w:szCs w:val="28"/>
          <w:highlight w:val="none"/>
          <w:lang w:val="zh-CN" w:bidi="zh-CN"/>
        </w:rPr>
        <w:t>人工费、管理费、保险费、包装费、装卸费、运输费、</w:t>
      </w:r>
      <w:r>
        <w:rPr>
          <w:rFonts w:hint="eastAsia" w:ascii="仿宋" w:hAnsi="仿宋" w:eastAsia="仿宋" w:cs="仿宋"/>
          <w:w w:val="95"/>
          <w:sz w:val="28"/>
          <w:szCs w:val="28"/>
          <w:highlight w:val="none"/>
          <w:lang w:val="en-US" w:bidi="zh-CN"/>
        </w:rPr>
        <w:t>调试</w:t>
      </w:r>
      <w:r>
        <w:rPr>
          <w:rFonts w:hint="eastAsia" w:ascii="仿宋" w:hAnsi="仿宋" w:eastAsia="仿宋" w:cs="仿宋"/>
          <w:w w:val="95"/>
          <w:sz w:val="28"/>
          <w:szCs w:val="28"/>
          <w:highlight w:val="none"/>
          <w:lang w:val="zh-CN" w:bidi="zh-CN"/>
        </w:rPr>
        <w:t>费、税金、利润等。</w:t>
      </w:r>
    </w:p>
    <w:p w14:paraId="36DCBA11">
      <w:pPr>
        <w:pStyle w:val="8"/>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b w:val="0"/>
          <w:bCs w:val="0"/>
          <w:sz w:val="28"/>
          <w:szCs w:val="28"/>
          <w:highlight w:val="yellow"/>
          <w:vertAlign w:val="baseline"/>
          <w:lang w:val="en-US" w:eastAsia="zh-CN"/>
        </w:rPr>
      </w:pPr>
      <w:r>
        <w:rPr>
          <w:rFonts w:hint="eastAsia" w:ascii="仿宋" w:hAnsi="仿宋" w:eastAsia="仿宋" w:cs="仿宋"/>
          <w:b w:val="0"/>
          <w:bCs w:val="0"/>
          <w:sz w:val="28"/>
          <w:szCs w:val="28"/>
          <w:highlight w:val="yellow"/>
          <w:vertAlign w:val="baseline"/>
          <w:lang w:val="en-US" w:eastAsia="zh-CN"/>
        </w:rPr>
        <w:t>4.质保期：质保1年，1年内因质量问题引起的故障均由成交供应商免费维修，且维修产生的运费等均由成交供应商承担。</w:t>
      </w:r>
    </w:p>
    <w:p w14:paraId="35D9E3A8">
      <w:pPr>
        <w:pStyle w:val="8"/>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b w:val="0"/>
          <w:bCs w:val="0"/>
          <w:sz w:val="28"/>
          <w:szCs w:val="28"/>
          <w:highlight w:val="yellow"/>
          <w:vertAlign w:val="baseline"/>
          <w:lang w:val="en-US" w:eastAsia="zh-CN"/>
        </w:rPr>
      </w:pPr>
      <w:r>
        <w:rPr>
          <w:rFonts w:hint="eastAsia" w:ascii="仿宋" w:hAnsi="仿宋" w:eastAsia="仿宋" w:cs="仿宋"/>
          <w:b w:val="0"/>
          <w:bCs w:val="0"/>
          <w:sz w:val="28"/>
          <w:szCs w:val="28"/>
          <w:highlight w:val="yellow"/>
          <w:vertAlign w:val="baseline"/>
          <w:lang w:val="en-US" w:eastAsia="zh-CN"/>
        </w:rPr>
        <w:t>5.付款条件：</w:t>
      </w:r>
      <w:r>
        <w:rPr>
          <w:highlight w:val="yellow"/>
        </w:rPr>
        <w:commentReference w:id="0"/>
      </w:r>
      <w:r>
        <w:rPr>
          <w:rFonts w:hint="eastAsia" w:ascii="仿宋" w:hAnsi="仿宋" w:eastAsia="仿宋" w:cs="仿宋"/>
          <w:b w:val="0"/>
          <w:bCs w:val="0"/>
          <w:sz w:val="28"/>
          <w:szCs w:val="28"/>
          <w:highlight w:val="yellow"/>
          <w:vertAlign w:val="baseline"/>
          <w:lang w:val="en-US" w:eastAsia="zh-CN"/>
        </w:rPr>
        <w:t>全部完工后，双方验收合格之后半年内付至合同总价的95%，余5%质保期满后无质量问题一次性无息付清</w:t>
      </w:r>
      <w:commentRangeStart w:id="1"/>
      <w:r>
        <w:rPr>
          <w:rFonts w:hint="eastAsia" w:ascii="仿宋" w:hAnsi="仿宋" w:eastAsia="仿宋" w:cs="仿宋"/>
          <w:b w:val="0"/>
          <w:bCs w:val="0"/>
          <w:sz w:val="28"/>
          <w:szCs w:val="28"/>
          <w:highlight w:val="yellow"/>
          <w:vertAlign w:val="baseline"/>
          <w:lang w:val="en-US" w:eastAsia="zh-CN"/>
        </w:rPr>
        <w:t>。</w:t>
      </w:r>
      <w:commentRangeEnd w:id="1"/>
      <w:r>
        <w:rPr>
          <w:highlight w:val="yellow"/>
        </w:rPr>
        <w:commentReference w:id="1"/>
      </w:r>
    </w:p>
    <w:p w14:paraId="76C2177F">
      <w:pPr>
        <w:pStyle w:val="8"/>
        <w:pageBreakBefore w:val="0"/>
        <w:widowControl w:val="0"/>
        <w:kinsoku/>
        <w:wordWrap/>
        <w:overflowPunct/>
        <w:topLinePunct w:val="0"/>
        <w:autoSpaceDE/>
        <w:autoSpaceDN/>
        <w:bidi w:val="0"/>
        <w:adjustRightInd/>
        <w:snapToGrid/>
        <w:spacing w:line="360" w:lineRule="auto"/>
        <w:ind w:firstLine="562" w:firstLineChars="200"/>
        <w:jc w:val="left"/>
        <w:textAlignment w:val="auto"/>
        <w:rPr>
          <w:rFonts w:hint="eastAsia" w:ascii="仿宋" w:hAnsi="仿宋" w:eastAsia="仿宋" w:cs="仿宋"/>
          <w:b/>
          <w:bCs/>
          <w:sz w:val="28"/>
          <w:szCs w:val="28"/>
          <w:highlight w:val="yellow"/>
          <w:vertAlign w:val="baseline"/>
          <w:lang w:val="en-US" w:eastAsia="zh-CN"/>
        </w:rPr>
      </w:pPr>
      <w:r>
        <w:rPr>
          <w:rFonts w:hint="eastAsia" w:ascii="仿宋" w:hAnsi="仿宋" w:eastAsia="仿宋" w:cs="仿宋"/>
          <w:b/>
          <w:bCs/>
          <w:sz w:val="28"/>
          <w:szCs w:val="28"/>
          <w:highlight w:val="yellow"/>
          <w:vertAlign w:val="baseline"/>
          <w:lang w:val="en-US" w:eastAsia="zh-CN"/>
        </w:rPr>
        <w:t>6.付款方式：包括但不限于</w:t>
      </w:r>
      <w:r>
        <w:rPr>
          <w:rFonts w:hint="eastAsia" w:ascii="仿宋" w:hAnsi="仿宋" w:eastAsia="仿宋" w:cs="仿宋"/>
          <w:b/>
          <w:bCs/>
          <w:sz w:val="28"/>
          <w:szCs w:val="28"/>
          <w:highlight w:val="yellow"/>
        </w:rPr>
        <w:t>银行汇款、供应链票据、承兑汇票等方式</w:t>
      </w:r>
      <w:r>
        <w:rPr>
          <w:rFonts w:hint="eastAsia" w:ascii="仿宋" w:hAnsi="仿宋" w:eastAsia="仿宋" w:cs="仿宋"/>
          <w:b/>
          <w:bCs/>
          <w:sz w:val="28"/>
          <w:szCs w:val="28"/>
          <w:highlight w:val="yellow"/>
          <w:lang w:eastAsia="zh-CN"/>
        </w:rPr>
        <w:t>（</w:t>
      </w:r>
      <w:r>
        <w:rPr>
          <w:rFonts w:hint="eastAsia" w:ascii="仿宋" w:hAnsi="仿宋" w:eastAsia="仿宋" w:cs="仿宋"/>
          <w:b/>
          <w:bCs/>
          <w:sz w:val="28"/>
          <w:szCs w:val="28"/>
          <w:highlight w:val="yellow"/>
          <w:lang w:val="en-US" w:eastAsia="zh-CN"/>
        </w:rPr>
        <w:t>具体以甲方财务资金部要求为准</w:t>
      </w:r>
      <w:r>
        <w:rPr>
          <w:rFonts w:hint="eastAsia" w:ascii="仿宋" w:hAnsi="仿宋" w:eastAsia="仿宋" w:cs="仿宋"/>
          <w:b/>
          <w:bCs/>
          <w:sz w:val="28"/>
          <w:szCs w:val="28"/>
          <w:highlight w:val="yellow"/>
          <w:lang w:eastAsia="zh-CN"/>
        </w:rPr>
        <w:t>）</w:t>
      </w:r>
      <w:r>
        <w:rPr>
          <w:rFonts w:hint="eastAsia" w:ascii="仿宋" w:hAnsi="仿宋" w:eastAsia="仿宋" w:cs="仿宋"/>
          <w:b/>
          <w:bCs/>
          <w:sz w:val="28"/>
          <w:szCs w:val="28"/>
          <w:highlight w:val="yellow"/>
          <w:vertAlign w:val="baseline"/>
          <w:lang w:val="en-US" w:eastAsia="zh-CN"/>
        </w:rPr>
        <w:t>。</w:t>
      </w:r>
    </w:p>
    <w:p w14:paraId="4D4BA44A">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六、投标</w:t>
      </w:r>
      <w:r>
        <w:rPr>
          <w:rFonts w:hint="eastAsia" w:ascii="仿宋" w:hAnsi="仿宋" w:eastAsia="仿宋" w:cs="仿宋"/>
          <w:color w:val="auto"/>
          <w:sz w:val="28"/>
          <w:szCs w:val="28"/>
          <w:highlight w:val="none"/>
          <w:lang w:val="en-US" w:eastAsia="zh-CN"/>
        </w:rPr>
        <w:t>资格要求</w:t>
      </w:r>
    </w:p>
    <w:p w14:paraId="74936717">
      <w:pPr>
        <w:pStyle w:val="8"/>
        <w:tabs>
          <w:tab w:val="left" w:pos="945"/>
        </w:tabs>
        <w:spacing w:before="69" w:line="326" w:lineRule="auto"/>
        <w:ind w:firstLine="423"/>
        <w:rPr>
          <w:rFonts w:hint="eastAsia" w:ascii="仿宋" w:hAnsi="仿宋" w:eastAsia="仿宋" w:cs="仿宋"/>
          <w:spacing w:val="-2"/>
          <w:sz w:val="28"/>
          <w:szCs w:val="28"/>
          <w:highlight w:val="none"/>
          <w:lang w:eastAsia="zh-CN"/>
        </w:rPr>
      </w:pPr>
      <w:bookmarkStart w:id="1" w:name="_Toc12329"/>
      <w:r>
        <w:rPr>
          <w:rFonts w:hint="eastAsia" w:ascii="仿宋" w:hAnsi="仿宋" w:eastAsia="仿宋" w:cs="仿宋"/>
          <w:spacing w:val="-2"/>
          <w:sz w:val="28"/>
          <w:szCs w:val="28"/>
          <w:highlight w:val="none"/>
          <w:lang w:eastAsia="zh-CN"/>
        </w:rPr>
        <w:t>1、具有在中华人民共和国境内注册的独立法人资格；</w:t>
      </w:r>
    </w:p>
    <w:p w14:paraId="25CDB2D0">
      <w:pPr>
        <w:pStyle w:val="8"/>
        <w:tabs>
          <w:tab w:val="left" w:pos="945"/>
        </w:tabs>
        <w:spacing w:before="69" w:line="326" w:lineRule="auto"/>
        <w:ind w:firstLine="423"/>
        <w:rPr>
          <w:rFonts w:hint="eastAsia" w:ascii="仿宋" w:hAnsi="仿宋" w:eastAsia="仿宋" w:cs="仿宋"/>
          <w:spacing w:val="-2"/>
          <w:sz w:val="28"/>
          <w:szCs w:val="28"/>
          <w:highlight w:val="none"/>
          <w:lang w:eastAsia="zh-CN"/>
        </w:rPr>
      </w:pPr>
      <w:r>
        <w:rPr>
          <w:rFonts w:hint="eastAsia" w:ascii="仿宋" w:hAnsi="仿宋" w:eastAsia="仿宋" w:cs="仿宋"/>
          <w:spacing w:val="-2"/>
          <w:sz w:val="28"/>
          <w:szCs w:val="28"/>
          <w:highlight w:val="none"/>
          <w:lang w:val="en-US" w:eastAsia="zh-CN"/>
        </w:rPr>
        <w:t>2、</w:t>
      </w:r>
      <w:r>
        <w:rPr>
          <w:rFonts w:hint="eastAsia" w:ascii="仿宋" w:hAnsi="仿宋" w:eastAsia="仿宋" w:cs="仿宋"/>
          <w:spacing w:val="-2"/>
          <w:sz w:val="28"/>
          <w:szCs w:val="28"/>
          <w:highlight w:val="none"/>
          <w:lang w:eastAsia="zh-CN"/>
        </w:rPr>
        <w:t>与招标人存在利害关系可能影响招标公正性的法人、其他组织或者个人，不得参加投标。单位负责人为同一人或者存在控股、管理关系的不同单位，不得参加同一标段投标或者未划分标段的同一招标项目投标。</w:t>
      </w:r>
    </w:p>
    <w:p w14:paraId="41F1CA6F">
      <w:pPr>
        <w:pStyle w:val="8"/>
        <w:tabs>
          <w:tab w:val="left" w:pos="945"/>
        </w:tabs>
        <w:spacing w:before="69" w:line="326" w:lineRule="auto"/>
        <w:ind w:firstLine="423"/>
        <w:rPr>
          <w:rFonts w:hint="eastAsia" w:ascii="仿宋" w:hAnsi="仿宋" w:eastAsia="仿宋" w:cs="仿宋"/>
          <w:spacing w:val="-2"/>
          <w:sz w:val="28"/>
          <w:szCs w:val="28"/>
          <w:highlight w:val="none"/>
          <w:lang w:eastAsia="zh-CN"/>
        </w:rPr>
      </w:pPr>
      <w:r>
        <w:rPr>
          <w:rFonts w:hint="eastAsia" w:ascii="仿宋" w:hAnsi="仿宋" w:eastAsia="仿宋" w:cs="仿宋"/>
          <w:spacing w:val="-2"/>
          <w:sz w:val="28"/>
          <w:szCs w:val="28"/>
          <w:highlight w:val="none"/>
          <w:lang w:val="en-US" w:eastAsia="zh-CN"/>
        </w:rPr>
        <w:t>3、</w:t>
      </w:r>
      <w:r>
        <w:rPr>
          <w:rFonts w:hint="eastAsia" w:ascii="仿宋" w:hAnsi="仿宋" w:eastAsia="仿宋" w:cs="仿宋"/>
          <w:spacing w:val="-2"/>
          <w:sz w:val="28"/>
          <w:szCs w:val="28"/>
          <w:highlight w:val="none"/>
          <w:lang w:eastAsia="zh-CN"/>
        </w:rPr>
        <w:t>投标人不得是工程总承包项目的代建单位、项目管理单位、监理单位、造价咨询单位、</w:t>
      </w:r>
      <w:r>
        <w:rPr>
          <w:rFonts w:hint="eastAsia" w:ascii="仿宋" w:hAnsi="仿宋" w:eastAsia="仿宋" w:cs="仿宋"/>
          <w:spacing w:val="-2"/>
          <w:sz w:val="28"/>
          <w:szCs w:val="28"/>
          <w:highlight w:val="none"/>
          <w:lang w:val="en-US" w:eastAsia="zh-CN"/>
        </w:rPr>
        <w:t>设计单位</w:t>
      </w:r>
      <w:r>
        <w:rPr>
          <w:rFonts w:hint="eastAsia" w:ascii="仿宋" w:hAnsi="仿宋" w:eastAsia="仿宋" w:cs="仿宋"/>
          <w:spacing w:val="-2"/>
          <w:sz w:val="28"/>
          <w:szCs w:val="28"/>
          <w:highlight w:val="none"/>
          <w:lang w:eastAsia="zh-CN"/>
        </w:rPr>
        <w:t>、招标代理单位。</w:t>
      </w:r>
    </w:p>
    <w:p w14:paraId="3F987BB0">
      <w:pPr>
        <w:pStyle w:val="8"/>
        <w:tabs>
          <w:tab w:val="left" w:pos="945"/>
        </w:tabs>
        <w:spacing w:before="69" w:line="326" w:lineRule="auto"/>
        <w:ind w:firstLine="423"/>
        <w:rPr>
          <w:rFonts w:hint="eastAsia" w:ascii="仿宋" w:hAnsi="仿宋" w:eastAsia="仿宋" w:cs="仿宋"/>
          <w:spacing w:val="-2"/>
          <w:sz w:val="28"/>
          <w:szCs w:val="28"/>
          <w:highlight w:val="none"/>
          <w:lang w:eastAsia="zh-CN"/>
        </w:rPr>
      </w:pPr>
      <w:r>
        <w:rPr>
          <w:rFonts w:hint="eastAsia" w:ascii="仿宋" w:hAnsi="仿宋" w:eastAsia="仿宋" w:cs="仿宋"/>
          <w:spacing w:val="-2"/>
          <w:sz w:val="28"/>
          <w:szCs w:val="28"/>
          <w:highlight w:val="none"/>
          <w:lang w:val="en-US" w:eastAsia="zh-CN"/>
        </w:rPr>
        <w:t>4、参加采购活动前三年内，在经营活动中没有重大违法记录：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r>
        <w:rPr>
          <w:rFonts w:hint="eastAsia" w:ascii="仿宋" w:hAnsi="仿宋" w:eastAsia="仿宋" w:cs="仿宋"/>
          <w:spacing w:val="-2"/>
          <w:sz w:val="28"/>
          <w:szCs w:val="28"/>
          <w:highlight w:val="none"/>
          <w:lang w:eastAsia="zh-CN"/>
        </w:rPr>
        <w:t>；</w:t>
      </w:r>
    </w:p>
    <w:p w14:paraId="428C080D">
      <w:pPr>
        <w:pStyle w:val="8"/>
        <w:tabs>
          <w:tab w:val="left" w:pos="945"/>
        </w:tabs>
        <w:spacing w:before="69" w:line="326" w:lineRule="auto"/>
        <w:ind w:firstLine="423"/>
        <w:rPr>
          <w:rFonts w:hint="eastAsia" w:ascii="仿宋" w:hAnsi="仿宋" w:eastAsia="仿宋" w:cs="仿宋"/>
          <w:spacing w:val="-2"/>
          <w:sz w:val="28"/>
          <w:szCs w:val="28"/>
          <w:highlight w:val="none"/>
        </w:rPr>
      </w:pPr>
      <w:r>
        <w:rPr>
          <w:rFonts w:hint="eastAsia" w:ascii="仿宋" w:hAnsi="仿宋" w:eastAsia="仿宋" w:cs="仿宋"/>
          <w:spacing w:val="-2"/>
          <w:sz w:val="28"/>
          <w:szCs w:val="28"/>
          <w:highlight w:val="none"/>
          <w:lang w:val="en-US" w:eastAsia="zh-CN"/>
        </w:rPr>
        <w:t>5、</w:t>
      </w:r>
      <w:r>
        <w:rPr>
          <w:rFonts w:hint="eastAsia" w:ascii="仿宋" w:hAnsi="仿宋" w:eastAsia="仿宋" w:cs="仿宋"/>
          <w:spacing w:val="-2"/>
          <w:sz w:val="28"/>
          <w:szCs w:val="28"/>
          <w:highlight w:val="none"/>
          <w:lang w:eastAsia="zh-CN"/>
        </w:rPr>
        <w:t>通过“信用中国”网站（www.creditchina.gov.cn），未被列入“失信被执行人”和“重大税收违法失信主体</w:t>
      </w:r>
      <w:r>
        <w:rPr>
          <w:rFonts w:hint="eastAsia" w:ascii="仿宋" w:hAnsi="仿宋" w:eastAsia="仿宋" w:cs="仿宋"/>
          <w:spacing w:val="-2"/>
          <w:sz w:val="28"/>
          <w:szCs w:val="28"/>
          <w:highlight w:val="none"/>
          <w:lang w:val="en-US" w:eastAsia="zh-CN"/>
        </w:rPr>
        <w:t>名单</w:t>
      </w:r>
      <w:r>
        <w:rPr>
          <w:rFonts w:hint="eastAsia" w:ascii="仿宋" w:hAnsi="仿宋" w:eastAsia="仿宋" w:cs="仿宋"/>
          <w:spacing w:val="-2"/>
          <w:sz w:val="28"/>
          <w:szCs w:val="28"/>
          <w:highlight w:val="none"/>
          <w:lang w:eastAsia="zh-CN"/>
        </w:rPr>
        <w:t>”和“严重失信主体名单”和“经营（活动）异常名录”的不良记录。</w:t>
      </w:r>
      <w:r>
        <w:rPr>
          <w:rFonts w:hint="eastAsia" w:ascii="仿宋" w:hAnsi="仿宋" w:eastAsia="仿宋" w:cs="仿宋"/>
          <w:spacing w:val="-2"/>
          <w:sz w:val="28"/>
          <w:szCs w:val="28"/>
          <w:highlight w:val="none"/>
          <w:lang w:val="en-US" w:eastAsia="zh-CN"/>
        </w:rPr>
        <w:t>通过“中国政府采购网”（www.ccgp.gov.cn）网站查询，未被列入政府采购严重违法失信行为记录名单；</w:t>
      </w:r>
      <w:bookmarkEnd w:id="1"/>
    </w:p>
    <w:p w14:paraId="5C686D74">
      <w:pPr>
        <w:pStyle w:val="8"/>
        <w:tabs>
          <w:tab w:val="left" w:pos="945"/>
        </w:tabs>
        <w:spacing w:before="69" w:line="326" w:lineRule="auto"/>
        <w:ind w:firstLine="423"/>
        <w:rPr>
          <w:rFonts w:hint="eastAsia" w:ascii="仿宋" w:hAnsi="仿宋" w:eastAsia="仿宋" w:cs="仿宋"/>
          <w:spacing w:val="-2"/>
          <w:sz w:val="28"/>
          <w:szCs w:val="28"/>
          <w:highlight w:val="none"/>
          <w:lang w:val="en-US" w:eastAsia="zh-CN"/>
        </w:rPr>
      </w:pPr>
      <w:r>
        <w:rPr>
          <w:rFonts w:hint="eastAsia" w:ascii="仿宋" w:hAnsi="仿宋" w:eastAsia="仿宋" w:cs="仿宋"/>
          <w:spacing w:val="-2"/>
          <w:sz w:val="28"/>
          <w:szCs w:val="28"/>
          <w:highlight w:val="none"/>
          <w:lang w:val="en-US" w:eastAsia="zh-CN"/>
        </w:rPr>
        <w:t>6、</w:t>
      </w:r>
      <w:r>
        <w:rPr>
          <w:rFonts w:hint="eastAsia" w:ascii="仿宋" w:hAnsi="仿宋" w:eastAsia="仿宋" w:cs="仿宋"/>
          <w:spacing w:val="-2"/>
          <w:sz w:val="28"/>
          <w:szCs w:val="28"/>
          <w:highlight w:val="none"/>
          <w:lang w:eastAsia="zh-CN"/>
        </w:rPr>
        <w:t>本项目不接受联合体</w:t>
      </w:r>
      <w:r>
        <w:rPr>
          <w:rFonts w:hint="eastAsia" w:ascii="仿宋" w:hAnsi="仿宋" w:eastAsia="仿宋" w:cs="仿宋"/>
          <w:spacing w:val="-2"/>
          <w:sz w:val="28"/>
          <w:szCs w:val="28"/>
          <w:highlight w:val="none"/>
          <w:lang w:val="en-US" w:eastAsia="zh-CN"/>
        </w:rPr>
        <w:t>投标</w:t>
      </w:r>
      <w:r>
        <w:rPr>
          <w:rFonts w:hint="eastAsia" w:ascii="仿宋" w:hAnsi="仿宋" w:eastAsia="仿宋" w:cs="仿宋"/>
          <w:spacing w:val="-2"/>
          <w:sz w:val="28"/>
          <w:szCs w:val="28"/>
          <w:highlight w:val="none"/>
          <w:lang w:eastAsia="zh-CN"/>
        </w:rPr>
        <w:t>、报价。</w:t>
      </w:r>
    </w:p>
    <w:p w14:paraId="02DDCB1E">
      <w:pPr>
        <w:keepNext w:val="0"/>
        <w:keepLines w:val="0"/>
        <w:pageBreakBefore w:val="0"/>
        <w:widowControl w:val="0"/>
        <w:shd w:val="clear"/>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color w:val="auto"/>
          <w:sz w:val="28"/>
          <w:szCs w:val="28"/>
          <w:highlight w:val="none"/>
          <w:lang w:val="en-US"/>
        </w:rPr>
      </w:pPr>
      <w:r>
        <w:rPr>
          <w:rFonts w:hint="eastAsia" w:ascii="仿宋" w:hAnsi="仿宋" w:eastAsia="仿宋" w:cs="仿宋"/>
          <w:color w:val="auto"/>
          <w:sz w:val="28"/>
          <w:szCs w:val="28"/>
          <w:highlight w:val="none"/>
          <w:lang w:val="en-US" w:eastAsia="zh-CN"/>
        </w:rPr>
        <w:t>七、投标供应商须提供以下资料，每项资料必须加盖公章：</w:t>
      </w:r>
    </w:p>
    <w:p w14:paraId="444DC588">
      <w:pPr>
        <w:keepNext w:val="0"/>
        <w:keepLines w:val="0"/>
        <w:pageBreakBefore w:val="0"/>
        <w:widowControl w:val="0"/>
        <w:numPr>
          <w:ilvl w:val="0"/>
          <w:numId w:val="4"/>
        </w:numPr>
        <w:shd w:val="clear"/>
        <w:kinsoku/>
        <w:wordWrap/>
        <w:overflowPunct/>
        <w:topLinePunct w:val="0"/>
        <w:autoSpaceDE/>
        <w:autoSpaceDN/>
        <w:bidi w:val="0"/>
        <w:adjustRightInd w:val="0"/>
        <w:snapToGrid w:val="0"/>
        <w:spacing w:line="240" w:lineRule="auto"/>
        <w:ind w:left="70" w:leftChars="0" w:firstLine="560" w:firstLineChars="0"/>
        <w:textAlignment w:val="auto"/>
        <w:rPr>
          <w:rFonts w:hint="eastAsia" w:ascii="仿宋" w:hAnsi="仿宋" w:eastAsia="仿宋" w:cs="仿宋"/>
          <w:b w:val="0"/>
          <w:bCs w:val="0"/>
          <w:color w:val="auto"/>
          <w:sz w:val="28"/>
          <w:szCs w:val="28"/>
          <w:highlight w:val="none"/>
          <w:lang w:eastAsia="zh-CN"/>
        </w:rPr>
      </w:pPr>
      <w:r>
        <w:rPr>
          <w:rFonts w:hint="eastAsia" w:ascii="仿宋" w:hAnsi="仿宋" w:eastAsia="仿宋" w:cs="仿宋"/>
          <w:b w:val="0"/>
          <w:bCs w:val="0"/>
          <w:color w:val="auto"/>
          <w:sz w:val="28"/>
          <w:szCs w:val="28"/>
          <w:highlight w:val="none"/>
        </w:rPr>
        <w:t>营业执照副本</w:t>
      </w:r>
      <w:r>
        <w:rPr>
          <w:rFonts w:hint="eastAsia" w:ascii="仿宋" w:hAnsi="仿宋" w:eastAsia="仿宋" w:cs="仿宋"/>
          <w:b w:val="0"/>
          <w:bCs w:val="0"/>
          <w:color w:val="auto"/>
          <w:sz w:val="28"/>
          <w:szCs w:val="28"/>
          <w:highlight w:val="none"/>
          <w:lang w:val="en-US" w:eastAsia="zh-CN"/>
        </w:rPr>
        <w:t>复印件</w:t>
      </w:r>
      <w:r>
        <w:rPr>
          <w:rFonts w:hint="eastAsia" w:ascii="仿宋" w:hAnsi="仿宋" w:eastAsia="仿宋" w:cs="仿宋"/>
          <w:b w:val="0"/>
          <w:bCs w:val="0"/>
          <w:color w:val="auto"/>
          <w:sz w:val="28"/>
          <w:szCs w:val="28"/>
          <w:highlight w:val="none"/>
          <w:lang w:eastAsia="zh-CN"/>
        </w:rPr>
        <w:t>；</w:t>
      </w:r>
    </w:p>
    <w:p w14:paraId="74BCF877">
      <w:pPr>
        <w:keepNext w:val="0"/>
        <w:keepLines w:val="0"/>
        <w:pageBreakBefore w:val="0"/>
        <w:widowControl w:val="0"/>
        <w:numPr>
          <w:ilvl w:val="0"/>
          <w:numId w:val="4"/>
        </w:numPr>
        <w:shd w:val="clear"/>
        <w:kinsoku/>
        <w:wordWrap/>
        <w:overflowPunct/>
        <w:topLinePunct w:val="0"/>
        <w:autoSpaceDE/>
        <w:autoSpaceDN/>
        <w:bidi w:val="0"/>
        <w:adjustRightInd w:val="0"/>
        <w:snapToGrid w:val="0"/>
        <w:spacing w:line="240" w:lineRule="auto"/>
        <w:ind w:left="70" w:leftChars="0" w:firstLine="560" w:firstLineChars="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rPr>
        <w:t>缴纳税收证明资料（近</w:t>
      </w:r>
      <w:r>
        <w:rPr>
          <w:rFonts w:hint="eastAsia" w:ascii="仿宋" w:hAnsi="仿宋" w:eastAsia="仿宋" w:cs="仿宋"/>
          <w:b w:val="0"/>
          <w:bCs w:val="0"/>
          <w:color w:val="auto"/>
          <w:sz w:val="28"/>
          <w:szCs w:val="28"/>
          <w:highlight w:val="none"/>
          <w:lang w:val="en-US" w:eastAsia="zh-CN"/>
        </w:rPr>
        <w:t>一</w:t>
      </w:r>
      <w:r>
        <w:rPr>
          <w:rFonts w:hint="eastAsia" w:ascii="仿宋" w:hAnsi="仿宋" w:eastAsia="仿宋" w:cs="仿宋"/>
          <w:b w:val="0"/>
          <w:bCs w:val="0"/>
          <w:color w:val="auto"/>
          <w:sz w:val="28"/>
          <w:szCs w:val="28"/>
          <w:highlight w:val="none"/>
        </w:rPr>
        <w:t>个月）</w:t>
      </w:r>
      <w:r>
        <w:rPr>
          <w:rFonts w:hint="eastAsia" w:ascii="仿宋" w:hAnsi="仿宋" w:eastAsia="仿宋" w:cs="仿宋"/>
          <w:b w:val="0"/>
          <w:bCs w:val="0"/>
          <w:color w:val="auto"/>
          <w:sz w:val="28"/>
          <w:szCs w:val="28"/>
          <w:highlight w:val="none"/>
          <w:lang w:val="en-US" w:eastAsia="zh-CN"/>
        </w:rPr>
        <w:t>完税证明或增值税申报表；</w:t>
      </w:r>
    </w:p>
    <w:p w14:paraId="6FE1ED1E">
      <w:pPr>
        <w:keepNext w:val="0"/>
        <w:keepLines w:val="0"/>
        <w:pageBreakBefore w:val="0"/>
        <w:widowControl w:val="0"/>
        <w:numPr>
          <w:ilvl w:val="0"/>
          <w:numId w:val="4"/>
        </w:numPr>
        <w:shd w:val="clear"/>
        <w:kinsoku/>
        <w:wordWrap/>
        <w:overflowPunct/>
        <w:topLinePunct w:val="0"/>
        <w:autoSpaceDE/>
        <w:autoSpaceDN/>
        <w:bidi w:val="0"/>
        <w:adjustRightInd w:val="0"/>
        <w:snapToGrid w:val="0"/>
        <w:spacing w:line="240" w:lineRule="auto"/>
        <w:ind w:left="70" w:leftChars="0" w:firstLine="560" w:firstLineChars="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lang w:val="en-US" w:eastAsia="zh-CN"/>
        </w:rPr>
        <w:t>上年度纳税信用等级B级（含）以上，新注册企业M级；</w:t>
      </w:r>
    </w:p>
    <w:p w14:paraId="69AE7179">
      <w:pPr>
        <w:keepNext w:val="0"/>
        <w:keepLines w:val="0"/>
        <w:pageBreakBefore w:val="0"/>
        <w:widowControl w:val="0"/>
        <w:numPr>
          <w:ilvl w:val="0"/>
          <w:numId w:val="4"/>
        </w:numPr>
        <w:shd w:val="clear"/>
        <w:kinsoku/>
        <w:wordWrap/>
        <w:overflowPunct/>
        <w:topLinePunct w:val="0"/>
        <w:autoSpaceDE/>
        <w:autoSpaceDN/>
        <w:bidi w:val="0"/>
        <w:adjustRightInd w:val="0"/>
        <w:snapToGrid w:val="0"/>
        <w:spacing w:line="240" w:lineRule="auto"/>
        <w:ind w:left="70" w:leftChars="0" w:firstLine="560" w:firstLineChars="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缴纳社会保险证明资料（近</w:t>
      </w:r>
      <w:r>
        <w:rPr>
          <w:rFonts w:hint="eastAsia" w:ascii="仿宋" w:hAnsi="仿宋" w:eastAsia="仿宋" w:cs="仿宋"/>
          <w:b w:val="0"/>
          <w:bCs w:val="0"/>
          <w:color w:val="auto"/>
          <w:sz w:val="28"/>
          <w:szCs w:val="28"/>
          <w:highlight w:val="none"/>
          <w:lang w:val="en-US" w:eastAsia="zh-CN"/>
        </w:rPr>
        <w:t>一</w:t>
      </w:r>
      <w:r>
        <w:rPr>
          <w:rFonts w:hint="eastAsia" w:ascii="仿宋" w:hAnsi="仿宋" w:eastAsia="仿宋" w:cs="仿宋"/>
          <w:b w:val="0"/>
          <w:bCs w:val="0"/>
          <w:color w:val="auto"/>
          <w:sz w:val="28"/>
          <w:szCs w:val="28"/>
          <w:highlight w:val="none"/>
        </w:rPr>
        <w:t>个月）；</w:t>
      </w:r>
    </w:p>
    <w:p w14:paraId="3C420EE4">
      <w:pPr>
        <w:keepNext w:val="0"/>
        <w:keepLines w:val="0"/>
        <w:pageBreakBefore w:val="0"/>
        <w:widowControl w:val="0"/>
        <w:numPr>
          <w:ilvl w:val="0"/>
          <w:numId w:val="4"/>
        </w:numPr>
        <w:shd w:val="clear"/>
        <w:kinsoku/>
        <w:wordWrap/>
        <w:overflowPunct/>
        <w:topLinePunct w:val="0"/>
        <w:autoSpaceDE/>
        <w:autoSpaceDN/>
        <w:bidi w:val="0"/>
        <w:adjustRightInd w:val="0"/>
        <w:snapToGrid w:val="0"/>
        <w:spacing w:line="240" w:lineRule="auto"/>
        <w:ind w:left="70" w:leftChars="0" w:firstLine="560" w:firstLineChars="0"/>
        <w:textAlignment w:val="auto"/>
        <w:rPr>
          <w:rFonts w:hint="eastAsia" w:ascii="仿宋" w:hAnsi="仿宋" w:eastAsia="仿宋" w:cs="仿宋"/>
          <w:spacing w:val="-1"/>
          <w:sz w:val="28"/>
          <w:szCs w:val="28"/>
          <w:highlight w:val="none"/>
        </w:rPr>
      </w:pPr>
      <w:r>
        <w:rPr>
          <w:rFonts w:hint="eastAsia" w:ascii="仿宋" w:hAnsi="仿宋" w:eastAsia="仿宋" w:cs="仿宋"/>
          <w:b w:val="0"/>
          <w:bCs w:val="0"/>
          <w:color w:val="auto"/>
          <w:sz w:val="28"/>
          <w:szCs w:val="28"/>
          <w:highlight w:val="none"/>
          <w:lang w:val="en-US" w:eastAsia="zh-CN"/>
        </w:rPr>
        <w:t>报价文件全部内容（1-14）；</w:t>
      </w:r>
    </w:p>
    <w:p w14:paraId="2F286A2E">
      <w:pPr>
        <w:keepNext w:val="0"/>
        <w:keepLines w:val="0"/>
        <w:pageBreakBefore w:val="0"/>
        <w:widowControl w:val="0"/>
        <w:numPr>
          <w:ilvl w:val="0"/>
          <w:numId w:val="4"/>
        </w:numPr>
        <w:shd w:val="clear"/>
        <w:kinsoku/>
        <w:wordWrap/>
        <w:overflowPunct/>
        <w:topLinePunct w:val="0"/>
        <w:autoSpaceDE/>
        <w:autoSpaceDN/>
        <w:bidi w:val="0"/>
        <w:adjustRightInd w:val="0"/>
        <w:snapToGrid w:val="0"/>
        <w:spacing w:line="240" w:lineRule="auto"/>
        <w:ind w:left="70" w:leftChars="0" w:firstLine="560" w:firstLineChars="0"/>
        <w:textAlignment w:val="auto"/>
        <w:rPr>
          <w:rFonts w:hint="eastAsia" w:ascii="仿宋" w:hAnsi="仿宋" w:eastAsia="仿宋" w:cs="仿宋"/>
          <w:b/>
          <w:bCs/>
          <w:spacing w:val="-1"/>
          <w:sz w:val="28"/>
          <w:szCs w:val="28"/>
          <w:highlight w:val="none"/>
        </w:rPr>
      </w:pPr>
      <w:commentRangeStart w:id="2"/>
      <w:r>
        <w:rPr>
          <w:rFonts w:hint="eastAsia" w:ascii="仿宋" w:hAnsi="仿宋" w:eastAsia="仿宋" w:cs="仿宋"/>
          <w:b/>
          <w:bCs/>
          <w:spacing w:val="-1"/>
          <w:sz w:val="28"/>
          <w:szCs w:val="28"/>
          <w:highlight w:val="none"/>
          <w:lang w:val="en-US" w:eastAsia="zh-CN"/>
        </w:rPr>
        <w:t>近三年业绩合同复印件（2023年6月1日至2026年5月31日</w:t>
      </w:r>
      <w:commentRangeEnd w:id="2"/>
      <w:r>
        <w:rPr>
          <w:b/>
          <w:bCs/>
          <w:highlight w:val="none"/>
        </w:rPr>
        <w:commentReference w:id="2"/>
      </w:r>
      <w:r>
        <w:rPr>
          <w:rFonts w:hint="eastAsia" w:ascii="仿宋" w:hAnsi="仿宋" w:eastAsia="仿宋" w:cs="仿宋"/>
          <w:b/>
          <w:bCs/>
          <w:spacing w:val="-1"/>
          <w:sz w:val="28"/>
          <w:szCs w:val="28"/>
          <w:highlight w:val="none"/>
          <w:lang w:val="en-US" w:eastAsia="zh-CN"/>
        </w:rPr>
        <w:t>签订的金额</w:t>
      </w:r>
      <w:commentRangeStart w:id="3"/>
      <w:r>
        <w:rPr>
          <w:rFonts w:hint="default" w:ascii="Arial" w:hAnsi="Arial" w:eastAsia="仿宋" w:cs="Arial"/>
          <w:b/>
          <w:bCs/>
          <w:spacing w:val="-1"/>
          <w:sz w:val="28"/>
          <w:szCs w:val="28"/>
          <w:highlight w:val="none"/>
          <w:lang w:val="en-US" w:eastAsia="zh-CN"/>
        </w:rPr>
        <w:t>≥</w:t>
      </w:r>
      <w:r>
        <w:rPr>
          <w:rFonts w:hint="eastAsia" w:ascii="仿宋" w:hAnsi="仿宋" w:eastAsia="仿宋" w:cs="仿宋"/>
          <w:b/>
          <w:bCs/>
          <w:spacing w:val="-1"/>
          <w:sz w:val="28"/>
          <w:szCs w:val="28"/>
          <w:highlight w:val="none"/>
          <w:lang w:val="en-US" w:eastAsia="zh-CN"/>
        </w:rPr>
        <w:t>5万元人民币以上的</w:t>
      </w:r>
      <w:commentRangeEnd w:id="3"/>
      <w:r>
        <w:commentReference w:id="3"/>
      </w:r>
      <w:r>
        <w:rPr>
          <w:rFonts w:hint="eastAsia" w:ascii="仿宋" w:hAnsi="仿宋" w:eastAsia="仿宋" w:cs="仿宋"/>
          <w:b/>
          <w:bCs/>
          <w:spacing w:val="-1"/>
          <w:sz w:val="28"/>
          <w:szCs w:val="28"/>
          <w:highlight w:val="none"/>
          <w:lang w:val="en-US" w:eastAsia="zh-CN"/>
        </w:rPr>
        <w:t>）</w:t>
      </w:r>
    </w:p>
    <w:p w14:paraId="7BC26FCD">
      <w:pPr>
        <w:keepNext w:val="0"/>
        <w:keepLines w:val="0"/>
        <w:pageBreakBefore w:val="0"/>
        <w:widowControl w:val="0"/>
        <w:numPr>
          <w:ilvl w:val="0"/>
          <w:numId w:val="4"/>
        </w:numPr>
        <w:shd w:val="clear"/>
        <w:kinsoku/>
        <w:wordWrap/>
        <w:overflowPunct/>
        <w:topLinePunct w:val="0"/>
        <w:autoSpaceDE/>
        <w:autoSpaceDN/>
        <w:bidi w:val="0"/>
        <w:adjustRightInd w:val="0"/>
        <w:snapToGrid w:val="0"/>
        <w:spacing w:line="240" w:lineRule="auto"/>
        <w:ind w:left="70" w:leftChars="0" w:firstLine="560" w:firstLineChars="0"/>
        <w:textAlignment w:val="auto"/>
        <w:rPr>
          <w:rFonts w:hint="eastAsia" w:ascii="仿宋" w:hAnsi="仿宋" w:eastAsia="仿宋" w:cs="仿宋"/>
          <w:b/>
          <w:bCs/>
          <w:spacing w:val="-1"/>
          <w:sz w:val="28"/>
          <w:szCs w:val="28"/>
          <w:highlight w:val="none"/>
        </w:rPr>
      </w:pPr>
      <w:r>
        <w:rPr>
          <w:rFonts w:hint="eastAsia" w:ascii="仿宋" w:hAnsi="仿宋" w:eastAsia="仿宋" w:cs="仿宋"/>
          <w:b/>
          <w:bCs/>
          <w:spacing w:val="-1"/>
          <w:sz w:val="28"/>
          <w:szCs w:val="28"/>
          <w:highlight w:val="none"/>
          <w:lang w:val="en-US" w:eastAsia="zh-CN"/>
        </w:rPr>
        <w:t>现场施工人员电工证复印件（不少于2人）</w:t>
      </w:r>
    </w:p>
    <w:p w14:paraId="562A6546">
      <w:pPr>
        <w:adjustRightInd w:val="0"/>
        <w:snapToGrid w:val="0"/>
        <w:spacing w:line="360" w:lineRule="auto"/>
        <w:ind w:left="630"/>
        <w:jc w:val="left"/>
        <w:rPr>
          <w:rFonts w:hint="eastAsia" w:ascii="仿宋" w:hAnsi="仿宋" w:eastAsia="仿宋" w:cs="仿宋"/>
          <w:sz w:val="28"/>
          <w:szCs w:val="28"/>
        </w:rPr>
      </w:pPr>
      <w:r>
        <w:rPr>
          <w:rFonts w:hint="eastAsia" w:ascii="仿宋" w:hAnsi="仿宋" w:eastAsia="仿宋" w:cs="仿宋"/>
          <w:sz w:val="28"/>
          <w:szCs w:val="28"/>
        </w:rPr>
        <w:t>（</w:t>
      </w:r>
      <w:r>
        <w:rPr>
          <w:rFonts w:hint="eastAsia" w:ascii="仿宋" w:hAnsi="仿宋" w:eastAsia="仿宋" w:cs="仿宋"/>
          <w:sz w:val="28"/>
          <w:szCs w:val="28"/>
          <w:lang w:val="en-US" w:eastAsia="zh-CN"/>
        </w:rPr>
        <w:t>8</w:t>
      </w:r>
      <w:r>
        <w:rPr>
          <w:rFonts w:hint="eastAsia" w:ascii="仿宋" w:hAnsi="仿宋" w:eastAsia="仿宋" w:cs="仿宋"/>
          <w:sz w:val="28"/>
          <w:szCs w:val="28"/>
        </w:rPr>
        <w:t>）单</w:t>
      </w:r>
      <w:r>
        <w:rPr>
          <w:rFonts w:hint="eastAsia" w:ascii="仿宋" w:hAnsi="仿宋" w:eastAsia="仿宋" w:cs="仿宋"/>
          <w:snapToGrid w:val="0"/>
          <w:color w:val="000000"/>
          <w:spacing w:val="-2"/>
          <w:kern w:val="0"/>
          <w:sz w:val="28"/>
          <w:szCs w:val="28"/>
          <w:highlight w:val="none"/>
          <w:lang w:val="en-US" w:eastAsia="zh-CN" w:bidi="ar-SA"/>
        </w:rPr>
        <w:t>位及其法定代表人提供无行贿犯罪记录证明（若无法开具法定代表人无行贿犯罪记录证明，需同时提供以下三种材料加盖公章：①无行贿犯罪记录承诺书、②信用中国查询报告、③法人无犯罪记录证明）；</w:t>
      </w:r>
    </w:p>
    <w:p w14:paraId="3694F4A3">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240" w:lineRule="auto"/>
        <w:ind w:left="630" w:leftChars="0"/>
        <w:textAlignment w:val="auto"/>
        <w:rPr>
          <w:rFonts w:hint="eastAsia" w:ascii="仿宋" w:hAnsi="仿宋" w:eastAsia="仿宋" w:cs="仿宋"/>
          <w:b/>
          <w:bCs/>
          <w:spacing w:val="-1"/>
          <w:sz w:val="28"/>
          <w:szCs w:val="28"/>
          <w:highlight w:val="none"/>
        </w:rPr>
      </w:pPr>
    </w:p>
    <w:p w14:paraId="715318F5">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240" w:lineRule="auto"/>
        <w:ind w:firstLine="560" w:firstLineChars="200"/>
        <w:textAlignment w:val="auto"/>
        <w:rPr>
          <w:rFonts w:hint="eastAsia" w:ascii="仿宋" w:hAnsi="仿宋" w:eastAsia="仿宋" w:cs="仿宋"/>
          <w:spacing w:val="-1"/>
          <w:sz w:val="28"/>
          <w:szCs w:val="28"/>
          <w:highlight w:val="none"/>
        </w:rPr>
      </w:pPr>
      <w:r>
        <w:rPr>
          <w:rFonts w:hint="eastAsia" w:ascii="仿宋" w:hAnsi="仿宋" w:eastAsia="仿宋" w:cs="仿宋"/>
          <w:sz w:val="28"/>
          <w:szCs w:val="28"/>
          <w:highlight w:val="none"/>
          <w:lang w:val="en-US" w:eastAsia="zh-CN"/>
        </w:rPr>
        <w:t>八、采购公告及采购结果</w:t>
      </w:r>
      <w:r>
        <w:rPr>
          <w:rFonts w:hint="eastAsia" w:ascii="仿宋" w:hAnsi="仿宋" w:eastAsia="仿宋" w:cs="仿宋"/>
          <w:sz w:val="28"/>
          <w:szCs w:val="28"/>
          <w:highlight w:val="none"/>
        </w:rPr>
        <w:t>发放：</w:t>
      </w:r>
      <w:r>
        <w:rPr>
          <w:rFonts w:hint="eastAsia" w:ascii="仿宋" w:hAnsi="仿宋" w:eastAsia="仿宋" w:cs="仿宋"/>
          <w:spacing w:val="-1"/>
          <w:sz w:val="28"/>
          <w:szCs w:val="28"/>
          <w:highlight w:val="none"/>
        </w:rPr>
        <w:t>本次</w:t>
      </w:r>
      <w:r>
        <w:rPr>
          <w:rFonts w:hint="eastAsia" w:ascii="仿宋" w:hAnsi="仿宋" w:eastAsia="仿宋" w:cs="仿宋"/>
          <w:spacing w:val="-1"/>
          <w:sz w:val="28"/>
          <w:szCs w:val="28"/>
          <w:highlight w:val="none"/>
          <w:lang w:val="en-US" w:eastAsia="zh-CN"/>
        </w:rPr>
        <w:t>采购</w:t>
      </w:r>
      <w:r>
        <w:rPr>
          <w:rFonts w:hint="eastAsia" w:ascii="仿宋" w:hAnsi="仿宋" w:eastAsia="仿宋" w:cs="仿宋"/>
          <w:spacing w:val="-1"/>
          <w:sz w:val="28"/>
          <w:szCs w:val="28"/>
          <w:highlight w:val="none"/>
        </w:rPr>
        <w:t>公告</w:t>
      </w:r>
      <w:r>
        <w:rPr>
          <w:rFonts w:hint="eastAsia" w:ascii="仿宋" w:hAnsi="仿宋" w:eastAsia="仿宋" w:cs="仿宋"/>
          <w:spacing w:val="-1"/>
          <w:sz w:val="28"/>
          <w:szCs w:val="28"/>
          <w:highlight w:val="none"/>
          <w:lang w:val="en-US" w:eastAsia="zh-CN"/>
        </w:rPr>
        <w:t>及成交结果均</w:t>
      </w:r>
      <w:r>
        <w:rPr>
          <w:rFonts w:hint="eastAsia" w:ascii="仿宋" w:hAnsi="仿宋" w:eastAsia="仿宋" w:cs="仿宋"/>
          <w:spacing w:val="-1"/>
          <w:sz w:val="28"/>
          <w:szCs w:val="28"/>
          <w:highlight w:val="none"/>
        </w:rPr>
        <w:t>在</w:t>
      </w:r>
      <w:r>
        <w:rPr>
          <w:rFonts w:hint="eastAsia" w:ascii="仿宋" w:hAnsi="仿宋" w:eastAsia="仿宋" w:cs="仿宋"/>
          <w:spacing w:val="-1"/>
          <w:sz w:val="28"/>
          <w:szCs w:val="28"/>
          <w:highlight w:val="none"/>
          <w:lang w:val="en-US" w:eastAsia="zh-CN"/>
        </w:rPr>
        <w:t>青岛碧海水务有限公司网站（https://www.qdbhwater.com/ ）</w:t>
      </w:r>
      <w:r>
        <w:rPr>
          <w:rFonts w:hint="eastAsia" w:ascii="仿宋" w:hAnsi="仿宋" w:eastAsia="仿宋" w:cs="仿宋"/>
          <w:spacing w:val="-1"/>
          <w:sz w:val="28"/>
          <w:szCs w:val="28"/>
          <w:highlight w:val="none"/>
        </w:rPr>
        <w:t>上发布,因轻信其他组织、个人或媒体提供的信息而造成损失的，</w:t>
      </w:r>
      <w:r>
        <w:rPr>
          <w:rFonts w:hint="eastAsia" w:ascii="仿宋" w:hAnsi="仿宋" w:eastAsia="仿宋" w:cs="仿宋"/>
          <w:spacing w:val="-1"/>
          <w:sz w:val="28"/>
          <w:szCs w:val="28"/>
          <w:highlight w:val="none"/>
          <w:lang w:val="en-US" w:eastAsia="zh-CN"/>
        </w:rPr>
        <w:t>招标人</w:t>
      </w:r>
      <w:r>
        <w:rPr>
          <w:rFonts w:hint="eastAsia" w:ascii="仿宋" w:hAnsi="仿宋" w:eastAsia="仿宋" w:cs="仿宋"/>
          <w:spacing w:val="-1"/>
          <w:sz w:val="28"/>
          <w:szCs w:val="28"/>
          <w:highlight w:val="none"/>
        </w:rPr>
        <w:t>概不负责。</w:t>
      </w:r>
    </w:p>
    <w:p w14:paraId="6E4C0A2F">
      <w:pPr>
        <w:spacing w:before="303" w:line="239" w:lineRule="auto"/>
        <w:outlineLvl w:val="1"/>
        <w:rPr>
          <w:rFonts w:hint="eastAsia" w:ascii="仿宋" w:hAnsi="仿宋" w:eastAsia="仿宋" w:cs="仿宋"/>
          <w:sz w:val="28"/>
          <w:szCs w:val="28"/>
          <w:highlight w:val="none"/>
        </w:rPr>
      </w:pPr>
      <w:r>
        <w:rPr>
          <w:rFonts w:hint="eastAsia" w:ascii="仿宋" w:hAnsi="仿宋" w:eastAsia="仿宋" w:cs="仿宋"/>
          <w:sz w:val="28"/>
          <w:szCs w:val="28"/>
          <w:highlight w:val="none"/>
          <w:lang w:val="en-US" w:eastAsia="zh-CN"/>
        </w:rPr>
        <w:t>九、</w:t>
      </w:r>
      <w:r>
        <w:rPr>
          <w:rFonts w:hint="eastAsia" w:ascii="仿宋" w:hAnsi="仿宋" w:eastAsia="仿宋" w:cs="仿宋"/>
          <w:b/>
          <w:bCs/>
          <w:spacing w:val="5"/>
          <w:sz w:val="28"/>
          <w:szCs w:val="28"/>
          <w:highlight w:val="none"/>
        </w:rPr>
        <w:t xml:space="preserve"> 投标文件的递交</w:t>
      </w:r>
    </w:p>
    <w:p w14:paraId="1560F004">
      <w:pPr>
        <w:pStyle w:val="8"/>
        <w:tabs>
          <w:tab w:val="left" w:pos="945"/>
        </w:tabs>
        <w:spacing w:before="69" w:line="287" w:lineRule="auto"/>
        <w:ind w:right="141" w:firstLine="430"/>
        <w:rPr>
          <w:rFonts w:hint="eastAsia" w:ascii="仿宋" w:hAnsi="仿宋" w:eastAsia="仿宋" w:cs="仿宋"/>
          <w:sz w:val="28"/>
          <w:szCs w:val="28"/>
          <w:highlight w:val="none"/>
        </w:rPr>
      </w:pPr>
      <w:r>
        <w:rPr>
          <w:rFonts w:hint="eastAsia" w:ascii="仿宋" w:hAnsi="仿宋" w:eastAsia="仿宋" w:cs="仿宋"/>
          <w:spacing w:val="-1"/>
          <w:sz w:val="28"/>
          <w:szCs w:val="28"/>
          <w:highlight w:val="none"/>
        </w:rPr>
        <w:t>1</w:t>
      </w:r>
      <w:r>
        <w:rPr>
          <w:rFonts w:hint="eastAsia" w:ascii="仿宋" w:hAnsi="仿宋" w:eastAsia="仿宋" w:cs="仿宋"/>
          <w:spacing w:val="-1"/>
          <w:sz w:val="28"/>
          <w:szCs w:val="28"/>
          <w:highlight w:val="none"/>
          <w:lang w:eastAsia="zh-CN"/>
        </w:rPr>
        <w:t>、</w:t>
      </w:r>
      <w:r>
        <w:rPr>
          <w:rFonts w:hint="eastAsia" w:ascii="仿宋" w:hAnsi="仿宋" w:eastAsia="仿宋" w:cs="仿宋"/>
          <w:spacing w:val="-1"/>
          <w:sz w:val="28"/>
          <w:szCs w:val="28"/>
          <w:highlight w:val="none"/>
        </w:rPr>
        <w:t>投标文件递交的截止时间（投标截止时间，下同）为</w:t>
      </w:r>
      <w:r>
        <w:rPr>
          <w:rFonts w:hint="eastAsia" w:ascii="仿宋" w:hAnsi="仿宋" w:eastAsia="仿宋" w:cs="仿宋"/>
          <w:spacing w:val="-1"/>
          <w:sz w:val="28"/>
          <w:szCs w:val="28"/>
          <w:highlight w:val="none"/>
          <w:u w:val="single" w:color="auto"/>
        </w:rPr>
        <w:t xml:space="preserve"> </w:t>
      </w:r>
      <w:r>
        <w:rPr>
          <w:rFonts w:hint="eastAsia" w:ascii="仿宋" w:hAnsi="仿宋" w:eastAsia="仿宋" w:cs="仿宋"/>
          <w:spacing w:val="-1"/>
          <w:sz w:val="28"/>
          <w:szCs w:val="28"/>
          <w:highlight w:val="none"/>
          <w:u w:val="single" w:color="auto"/>
          <w:lang w:val="en-US" w:eastAsia="zh-CN"/>
        </w:rPr>
        <w:t>2026</w:t>
      </w:r>
      <w:r>
        <w:rPr>
          <w:rFonts w:hint="eastAsia" w:ascii="仿宋" w:hAnsi="仿宋" w:eastAsia="仿宋" w:cs="仿宋"/>
          <w:spacing w:val="-1"/>
          <w:sz w:val="28"/>
          <w:szCs w:val="28"/>
          <w:highlight w:val="none"/>
          <w:u w:val="single" w:color="auto"/>
        </w:rPr>
        <w:t xml:space="preserve"> </w:t>
      </w:r>
      <w:r>
        <w:rPr>
          <w:rFonts w:hint="eastAsia" w:ascii="仿宋" w:hAnsi="仿宋" w:eastAsia="仿宋" w:cs="仿宋"/>
          <w:spacing w:val="-82"/>
          <w:sz w:val="28"/>
          <w:szCs w:val="28"/>
          <w:highlight w:val="none"/>
        </w:rPr>
        <w:t xml:space="preserve"> </w:t>
      </w:r>
      <w:r>
        <w:rPr>
          <w:rFonts w:hint="eastAsia" w:ascii="仿宋" w:hAnsi="仿宋" w:eastAsia="仿宋" w:cs="仿宋"/>
          <w:spacing w:val="-1"/>
          <w:sz w:val="28"/>
          <w:szCs w:val="28"/>
          <w:highlight w:val="none"/>
        </w:rPr>
        <w:t>年</w:t>
      </w:r>
      <w:r>
        <w:rPr>
          <w:rFonts w:hint="eastAsia" w:ascii="仿宋" w:hAnsi="仿宋" w:eastAsia="仿宋" w:cs="仿宋"/>
          <w:spacing w:val="-105"/>
          <w:sz w:val="28"/>
          <w:szCs w:val="28"/>
          <w:highlight w:val="none"/>
        </w:rPr>
        <w:t xml:space="preserve"> </w:t>
      </w:r>
      <w:r>
        <w:rPr>
          <w:rFonts w:hint="eastAsia" w:ascii="仿宋" w:hAnsi="仿宋" w:eastAsia="仿宋" w:cs="仿宋"/>
          <w:spacing w:val="13"/>
          <w:sz w:val="28"/>
          <w:szCs w:val="28"/>
          <w:highlight w:val="none"/>
          <w:u w:val="single" w:color="auto"/>
        </w:rPr>
        <w:t xml:space="preserve"> </w:t>
      </w:r>
      <w:r>
        <w:rPr>
          <w:rFonts w:hint="eastAsia" w:ascii="仿宋" w:hAnsi="仿宋" w:eastAsia="仿宋" w:cs="仿宋"/>
          <w:spacing w:val="13"/>
          <w:sz w:val="28"/>
          <w:szCs w:val="28"/>
          <w:highlight w:val="none"/>
          <w:u w:val="single" w:color="auto"/>
          <w:lang w:val="en-US" w:eastAsia="zh-CN"/>
        </w:rPr>
        <w:t>7</w:t>
      </w:r>
      <w:r>
        <w:rPr>
          <w:rFonts w:hint="eastAsia" w:ascii="仿宋" w:hAnsi="仿宋" w:eastAsia="仿宋" w:cs="仿宋"/>
          <w:spacing w:val="13"/>
          <w:sz w:val="28"/>
          <w:szCs w:val="28"/>
          <w:highlight w:val="none"/>
          <w:u w:val="single" w:color="auto"/>
        </w:rPr>
        <w:t xml:space="preserve"> </w:t>
      </w:r>
      <w:r>
        <w:rPr>
          <w:rFonts w:hint="eastAsia" w:ascii="仿宋" w:hAnsi="仿宋" w:eastAsia="仿宋" w:cs="仿宋"/>
          <w:spacing w:val="-92"/>
          <w:sz w:val="28"/>
          <w:szCs w:val="28"/>
          <w:highlight w:val="none"/>
        </w:rPr>
        <w:t xml:space="preserve"> </w:t>
      </w:r>
      <w:r>
        <w:rPr>
          <w:rFonts w:hint="eastAsia" w:ascii="仿宋" w:hAnsi="仿宋" w:eastAsia="仿宋" w:cs="仿宋"/>
          <w:spacing w:val="-1"/>
          <w:sz w:val="28"/>
          <w:szCs w:val="28"/>
          <w:highlight w:val="none"/>
        </w:rPr>
        <w:t>月</w:t>
      </w:r>
      <w:r>
        <w:rPr>
          <w:rFonts w:hint="eastAsia" w:ascii="仿宋" w:hAnsi="仿宋" w:eastAsia="仿宋" w:cs="仿宋"/>
          <w:sz w:val="28"/>
          <w:szCs w:val="28"/>
          <w:highlight w:val="none"/>
        </w:rPr>
        <w:t xml:space="preserve"> </w:t>
      </w:r>
      <w:r>
        <w:rPr>
          <w:rFonts w:hint="eastAsia" w:ascii="仿宋" w:hAnsi="仿宋" w:eastAsia="仿宋" w:cs="仿宋"/>
          <w:sz w:val="28"/>
          <w:szCs w:val="28"/>
          <w:highlight w:val="none"/>
          <w:u w:val="single" w:color="auto"/>
          <w:lang w:val="en-US" w:eastAsia="zh-CN"/>
        </w:rPr>
        <w:t>8</w:t>
      </w:r>
      <w:r>
        <w:rPr>
          <w:rFonts w:hint="eastAsia" w:ascii="仿宋" w:hAnsi="仿宋" w:eastAsia="仿宋" w:cs="仿宋"/>
          <w:spacing w:val="-59"/>
          <w:sz w:val="28"/>
          <w:szCs w:val="28"/>
          <w:highlight w:val="none"/>
        </w:rPr>
        <w:t xml:space="preserve"> </w:t>
      </w:r>
      <w:r>
        <w:rPr>
          <w:rFonts w:hint="eastAsia" w:ascii="仿宋" w:hAnsi="仿宋" w:eastAsia="仿宋" w:cs="仿宋"/>
          <w:spacing w:val="-9"/>
          <w:sz w:val="28"/>
          <w:szCs w:val="28"/>
          <w:highlight w:val="none"/>
        </w:rPr>
        <w:t>日</w:t>
      </w:r>
      <w:r>
        <w:rPr>
          <w:rFonts w:hint="eastAsia" w:ascii="仿宋" w:hAnsi="仿宋" w:eastAsia="仿宋" w:cs="仿宋"/>
          <w:spacing w:val="-9"/>
          <w:sz w:val="28"/>
          <w:szCs w:val="28"/>
          <w:highlight w:val="none"/>
          <w:u w:val="single"/>
          <w:lang w:val="en-US" w:eastAsia="zh-CN"/>
        </w:rPr>
        <w:t xml:space="preserve">17  </w:t>
      </w:r>
      <w:r>
        <w:rPr>
          <w:rFonts w:hint="eastAsia" w:ascii="仿宋" w:hAnsi="仿宋" w:eastAsia="仿宋" w:cs="仿宋"/>
          <w:spacing w:val="-86"/>
          <w:sz w:val="28"/>
          <w:szCs w:val="28"/>
          <w:highlight w:val="none"/>
          <w:u w:val="single"/>
        </w:rPr>
        <w:t xml:space="preserve"> </w:t>
      </w:r>
      <w:r>
        <w:rPr>
          <w:rFonts w:hint="eastAsia" w:ascii="仿宋" w:hAnsi="仿宋" w:eastAsia="仿宋" w:cs="仿宋"/>
          <w:spacing w:val="-9"/>
          <w:sz w:val="28"/>
          <w:szCs w:val="28"/>
          <w:highlight w:val="none"/>
        </w:rPr>
        <w:t>时</w:t>
      </w:r>
      <w:r>
        <w:rPr>
          <w:rFonts w:hint="eastAsia" w:ascii="仿宋" w:hAnsi="仿宋" w:eastAsia="仿宋" w:cs="仿宋"/>
          <w:spacing w:val="-9"/>
          <w:sz w:val="28"/>
          <w:szCs w:val="28"/>
          <w:highlight w:val="none"/>
          <w:lang w:val="en-US" w:eastAsia="zh-CN"/>
        </w:rPr>
        <w:t xml:space="preserve">  </w:t>
      </w:r>
      <w:r>
        <w:rPr>
          <w:rFonts w:hint="eastAsia" w:ascii="仿宋" w:hAnsi="仿宋" w:eastAsia="仿宋" w:cs="仿宋"/>
          <w:spacing w:val="-9"/>
          <w:sz w:val="28"/>
          <w:szCs w:val="28"/>
          <w:highlight w:val="none"/>
          <w:u w:val="single" w:color="auto"/>
          <w:lang w:val="en-US" w:eastAsia="zh-CN"/>
        </w:rPr>
        <w:t>3</w:t>
      </w:r>
      <w:r>
        <w:rPr>
          <w:rFonts w:hint="eastAsia" w:ascii="仿宋" w:hAnsi="仿宋" w:eastAsia="仿宋" w:cs="仿宋"/>
          <w:spacing w:val="12"/>
          <w:sz w:val="28"/>
          <w:szCs w:val="28"/>
          <w:highlight w:val="none"/>
          <w:u w:val="single" w:color="auto"/>
          <w:lang w:val="en-US" w:eastAsia="zh-CN"/>
        </w:rPr>
        <w:t xml:space="preserve">0 </w:t>
      </w:r>
      <w:r>
        <w:rPr>
          <w:rFonts w:hint="eastAsia" w:ascii="仿宋" w:hAnsi="仿宋" w:eastAsia="仿宋" w:cs="仿宋"/>
          <w:spacing w:val="-87"/>
          <w:sz w:val="28"/>
          <w:szCs w:val="28"/>
          <w:highlight w:val="none"/>
          <w:u w:val="single" w:color="auto"/>
        </w:rPr>
        <w:t xml:space="preserve"> </w:t>
      </w:r>
      <w:r>
        <w:rPr>
          <w:rFonts w:hint="eastAsia" w:ascii="仿宋" w:hAnsi="仿宋" w:eastAsia="仿宋" w:cs="仿宋"/>
          <w:spacing w:val="-9"/>
          <w:sz w:val="28"/>
          <w:szCs w:val="28"/>
          <w:highlight w:val="none"/>
        </w:rPr>
        <w:t>分，地点为</w:t>
      </w:r>
      <w:r>
        <w:rPr>
          <w:rFonts w:hint="eastAsia" w:ascii="仿宋" w:hAnsi="仿宋" w:eastAsia="仿宋" w:cs="仿宋"/>
          <w:spacing w:val="6"/>
          <w:sz w:val="28"/>
          <w:szCs w:val="28"/>
          <w:highlight w:val="none"/>
          <w:u w:val="single" w:color="auto"/>
          <w:lang w:val="en-US" w:eastAsia="zh-CN"/>
        </w:rPr>
        <w:t>青岛市黄岛区淮河西路167号</w:t>
      </w:r>
      <w:r>
        <w:rPr>
          <w:rFonts w:hint="eastAsia" w:ascii="仿宋" w:hAnsi="仿宋" w:eastAsia="仿宋" w:cs="仿宋"/>
          <w:spacing w:val="6"/>
          <w:sz w:val="28"/>
          <w:szCs w:val="28"/>
          <w:highlight w:val="none"/>
          <w:u w:val="single" w:color="auto"/>
        </w:rPr>
        <w:t xml:space="preserve"> </w:t>
      </w:r>
      <w:r>
        <w:rPr>
          <w:rFonts w:hint="eastAsia" w:ascii="仿宋" w:hAnsi="仿宋" w:eastAsia="仿宋" w:cs="仿宋"/>
          <w:spacing w:val="-9"/>
          <w:sz w:val="28"/>
          <w:szCs w:val="28"/>
          <w:highlight w:val="none"/>
        </w:rPr>
        <w:t>。</w:t>
      </w:r>
    </w:p>
    <w:p w14:paraId="05B5E013">
      <w:pPr>
        <w:pStyle w:val="8"/>
        <w:spacing w:before="151" w:line="285" w:lineRule="auto"/>
        <w:ind w:left="9" w:firstLine="420"/>
        <w:rPr>
          <w:rFonts w:hint="eastAsia" w:ascii="仿宋" w:hAnsi="仿宋" w:eastAsia="仿宋" w:cs="仿宋"/>
          <w:sz w:val="28"/>
          <w:szCs w:val="28"/>
          <w:highlight w:val="none"/>
          <w:lang w:val="en-US" w:eastAsia="zh-CN"/>
        </w:rPr>
      </w:pPr>
      <w:r>
        <w:rPr>
          <w:rFonts w:hint="eastAsia" w:ascii="仿宋" w:hAnsi="仿宋" w:eastAsia="仿宋" w:cs="仿宋"/>
          <w:spacing w:val="-1"/>
          <w:sz w:val="28"/>
          <w:szCs w:val="28"/>
          <w:highlight w:val="none"/>
        </w:rPr>
        <w:t>2</w:t>
      </w:r>
      <w:r>
        <w:rPr>
          <w:rFonts w:hint="eastAsia" w:ascii="仿宋" w:hAnsi="仿宋" w:eastAsia="仿宋" w:cs="仿宋"/>
          <w:spacing w:val="35"/>
          <w:sz w:val="28"/>
          <w:szCs w:val="28"/>
          <w:highlight w:val="none"/>
          <w:lang w:eastAsia="zh-CN"/>
        </w:rPr>
        <w:t>、</w:t>
      </w:r>
      <w:r>
        <w:rPr>
          <w:rFonts w:hint="eastAsia" w:ascii="仿宋" w:hAnsi="仿宋" w:eastAsia="仿宋" w:cs="仿宋"/>
          <w:spacing w:val="-1"/>
          <w:sz w:val="28"/>
          <w:szCs w:val="28"/>
          <w:highlight w:val="none"/>
        </w:rPr>
        <w:t>逾期送达的、未送达指定地点的或者不按照</w:t>
      </w:r>
      <w:r>
        <w:rPr>
          <w:rFonts w:hint="eastAsia" w:ascii="仿宋" w:hAnsi="仿宋" w:eastAsia="仿宋" w:cs="仿宋"/>
          <w:spacing w:val="-2"/>
          <w:sz w:val="28"/>
          <w:szCs w:val="28"/>
          <w:highlight w:val="none"/>
        </w:rPr>
        <w:t>招标文件要求</w:t>
      </w:r>
      <w:r>
        <w:rPr>
          <w:rFonts w:hint="eastAsia" w:ascii="仿宋" w:hAnsi="仿宋" w:eastAsia="仿宋" w:cs="仿宋"/>
          <w:spacing w:val="-2"/>
          <w:sz w:val="28"/>
          <w:szCs w:val="28"/>
          <w:highlight w:val="none"/>
          <w:lang w:val="en-US" w:eastAsia="zh-CN"/>
        </w:rPr>
        <w:t>装订、</w:t>
      </w:r>
      <w:r>
        <w:rPr>
          <w:rFonts w:hint="eastAsia" w:ascii="仿宋" w:hAnsi="仿宋" w:eastAsia="仿宋" w:cs="仿宋"/>
          <w:spacing w:val="-2"/>
          <w:sz w:val="28"/>
          <w:szCs w:val="28"/>
          <w:highlight w:val="none"/>
        </w:rPr>
        <w:t>密封的投标文件，招标</w:t>
      </w:r>
      <w:r>
        <w:rPr>
          <w:rFonts w:hint="eastAsia" w:ascii="仿宋" w:hAnsi="仿宋" w:eastAsia="仿宋" w:cs="仿宋"/>
          <w:spacing w:val="-4"/>
          <w:sz w:val="28"/>
          <w:szCs w:val="28"/>
          <w:highlight w:val="none"/>
        </w:rPr>
        <w:t>人将予以拒收。</w:t>
      </w:r>
    </w:p>
    <w:p w14:paraId="7FEB4AA6">
      <w:pPr>
        <w:pageBreakBefore w:val="0"/>
        <w:shd w:val="clear"/>
        <w:kinsoku/>
        <w:wordWrap/>
        <w:overflowPunct/>
        <w:autoSpaceDE/>
        <w:autoSpaceDN/>
        <w:bidi w:val="0"/>
        <w:adjustRightInd w:val="0"/>
        <w:snapToGrid w:val="0"/>
        <w:spacing w:line="360" w:lineRule="auto"/>
        <w:textAlignment w:val="auto"/>
        <w:rPr>
          <w:rFonts w:hint="eastAsia" w:ascii="仿宋" w:hAnsi="仿宋" w:eastAsia="仿宋" w:cs="仿宋"/>
          <w:sz w:val="28"/>
          <w:szCs w:val="28"/>
          <w:highlight w:val="none"/>
          <w:lang w:val="en-US" w:eastAsia="zh-CN"/>
        </w:rPr>
      </w:pPr>
    </w:p>
    <w:p w14:paraId="64C0A022">
      <w:pPr>
        <w:pageBreakBefore w:val="0"/>
        <w:shd w:val="clear"/>
        <w:kinsoku/>
        <w:wordWrap/>
        <w:overflowPunct/>
        <w:autoSpaceDE/>
        <w:autoSpaceDN/>
        <w:bidi w:val="0"/>
        <w:adjustRightInd w:val="0"/>
        <w:snapToGrid w:val="0"/>
        <w:spacing w:line="360" w:lineRule="auto"/>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lang w:val="en-US" w:eastAsia="zh-CN"/>
        </w:rPr>
        <w:t>十、</w:t>
      </w:r>
      <w:commentRangeStart w:id="4"/>
      <w:r>
        <w:rPr>
          <w:rFonts w:hint="eastAsia" w:ascii="仿宋" w:hAnsi="仿宋" w:eastAsia="仿宋" w:cs="仿宋"/>
          <w:sz w:val="28"/>
          <w:szCs w:val="28"/>
          <w:highlight w:val="none"/>
        </w:rPr>
        <w:t>采购项目联系人姓名和电话</w:t>
      </w:r>
      <w:commentRangeEnd w:id="4"/>
      <w:r>
        <w:rPr>
          <w:highlight w:val="none"/>
        </w:rPr>
        <w:commentReference w:id="4"/>
      </w:r>
      <w:r>
        <w:rPr>
          <w:rFonts w:hint="eastAsia" w:ascii="仿宋" w:hAnsi="仿宋" w:eastAsia="仿宋" w:cs="仿宋"/>
          <w:sz w:val="28"/>
          <w:szCs w:val="28"/>
          <w:highlight w:val="none"/>
        </w:rPr>
        <w:t>：</w:t>
      </w:r>
    </w:p>
    <w:p w14:paraId="1CE6F302">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采 购 人：青岛碧海水务有限公司</w:t>
      </w:r>
    </w:p>
    <w:p w14:paraId="1B8CF50E">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rPr>
        <w:t>联 系 人：</w:t>
      </w:r>
      <w:r>
        <w:rPr>
          <w:rFonts w:hint="eastAsia" w:ascii="仿宋" w:hAnsi="仿宋" w:eastAsia="仿宋" w:cs="仿宋"/>
          <w:sz w:val="28"/>
          <w:szCs w:val="28"/>
          <w:highlight w:val="none"/>
          <w:lang w:val="en-US" w:eastAsia="zh-CN"/>
        </w:rPr>
        <w:t>丁明霞</w:t>
      </w:r>
    </w:p>
    <w:p w14:paraId="1D03E04F">
      <w:pPr>
        <w:pageBreakBefore w:val="0"/>
        <w:shd w:val="clear"/>
        <w:kinsoku/>
        <w:wordWrap/>
        <w:overflowPunct/>
        <w:autoSpaceDE/>
        <w:autoSpaceDN/>
        <w:bidi w:val="0"/>
        <w:adjustRightInd w:val="0"/>
        <w:snapToGrid w:val="0"/>
        <w:spacing w:line="360" w:lineRule="auto"/>
        <w:ind w:firstLine="560" w:firstLineChars="200"/>
        <w:textAlignment w:val="auto"/>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rPr>
        <w:t>电    话：</w:t>
      </w:r>
      <w:r>
        <w:rPr>
          <w:rFonts w:hint="eastAsia" w:ascii="仿宋" w:hAnsi="仿宋" w:eastAsia="仿宋" w:cs="仿宋"/>
          <w:sz w:val="28"/>
          <w:szCs w:val="28"/>
          <w:highlight w:val="none"/>
          <w:lang w:val="en-US" w:eastAsia="zh-CN"/>
        </w:rPr>
        <w:t>18669810356</w:t>
      </w:r>
    </w:p>
    <w:p w14:paraId="769C4CCA">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rPr>
      </w:pPr>
    </w:p>
    <w:p w14:paraId="50ED7C73">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rPr>
      </w:pPr>
    </w:p>
    <w:p w14:paraId="521DFA32">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rPr>
      </w:pPr>
    </w:p>
    <w:p w14:paraId="060C67B2">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rPr>
      </w:pPr>
    </w:p>
    <w:p w14:paraId="52BEEC93">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rPr>
      </w:pPr>
    </w:p>
    <w:p w14:paraId="4850DF3A">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rPr>
      </w:pPr>
    </w:p>
    <w:p w14:paraId="21FD0FAC">
      <w:pPr>
        <w:pageBreakBefore w:val="0"/>
        <w:shd w:val="clear"/>
        <w:kinsoku/>
        <w:wordWrap/>
        <w:overflowPunct/>
        <w:autoSpaceDE/>
        <w:autoSpaceDN/>
        <w:bidi w:val="0"/>
        <w:adjustRightInd w:val="0"/>
        <w:snapToGrid w:val="0"/>
        <w:spacing w:line="360" w:lineRule="auto"/>
        <w:ind w:firstLine="560" w:firstLineChars="200"/>
        <w:jc w:val="right"/>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青岛碧海水务有限公司</w:t>
      </w:r>
    </w:p>
    <w:p w14:paraId="34315740">
      <w:pPr>
        <w:pageBreakBefore w:val="0"/>
        <w:shd w:val="clear"/>
        <w:kinsoku/>
        <w:wordWrap/>
        <w:overflowPunct/>
        <w:autoSpaceDE/>
        <w:autoSpaceDN/>
        <w:bidi w:val="0"/>
        <w:adjustRightInd w:val="0"/>
        <w:snapToGrid w:val="0"/>
        <w:spacing w:line="360" w:lineRule="auto"/>
        <w:ind w:firstLine="560" w:firstLineChars="200"/>
        <w:jc w:val="center"/>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 xml:space="preserve">                                        2026年7月2日</w:t>
      </w:r>
    </w:p>
    <w:p w14:paraId="4AC1FD6A">
      <w:pPr>
        <w:pStyle w:val="8"/>
        <w:tabs>
          <w:tab w:val="left" w:pos="945"/>
        </w:tabs>
        <w:spacing w:before="69" w:line="360" w:lineRule="auto"/>
        <w:ind w:right="141" w:firstLine="430"/>
        <w:rPr>
          <w:rFonts w:hint="eastAsia" w:ascii="仿宋" w:hAnsi="仿宋" w:eastAsia="仿宋" w:cs="仿宋"/>
          <w:b/>
          <w:bCs/>
          <w:spacing w:val="5"/>
          <w:sz w:val="28"/>
          <w:szCs w:val="28"/>
          <w:highlight w:val="none"/>
        </w:rPr>
      </w:pPr>
      <w:r>
        <w:rPr>
          <w:rFonts w:hint="eastAsia" w:ascii="仿宋" w:hAnsi="仿宋" w:eastAsia="仿宋" w:cs="仿宋"/>
          <w:b/>
          <w:bCs/>
          <w:spacing w:val="5"/>
          <w:sz w:val="28"/>
          <w:szCs w:val="28"/>
          <w:highlight w:val="none"/>
        </w:rPr>
        <w:t xml:space="preserve">  </w:t>
      </w:r>
      <w:bookmarkEnd w:id="0"/>
    </w:p>
    <w:p w14:paraId="760C54C9">
      <w:pPr>
        <w:pStyle w:val="8"/>
        <w:tabs>
          <w:tab w:val="left" w:pos="945"/>
        </w:tabs>
        <w:spacing w:before="69" w:line="360" w:lineRule="auto"/>
        <w:ind w:right="141"/>
        <w:rPr>
          <w:rFonts w:hint="eastAsia" w:ascii="仿宋" w:hAnsi="仿宋" w:eastAsia="仿宋" w:cs="仿宋"/>
          <w:b/>
          <w:bCs/>
          <w:spacing w:val="5"/>
          <w:sz w:val="28"/>
          <w:szCs w:val="28"/>
          <w:highlight w:val="none"/>
        </w:rPr>
      </w:pPr>
    </w:p>
    <w:p w14:paraId="61241EC9">
      <w:pPr>
        <w:pageBreakBefore w:val="0"/>
        <w:numPr>
          <w:ilvl w:val="0"/>
          <w:numId w:val="5"/>
        </w:numPr>
        <w:shd w:val="clear"/>
        <w:kinsoku/>
        <w:wordWrap/>
        <w:overflowPunct/>
        <w:autoSpaceDE/>
        <w:autoSpaceDN/>
        <w:bidi w:val="0"/>
        <w:adjustRightInd w:val="0"/>
        <w:snapToGrid w:val="0"/>
        <w:spacing w:line="360" w:lineRule="auto"/>
        <w:ind w:firstLine="723" w:firstLineChars="200"/>
        <w:jc w:val="center"/>
        <w:textAlignment w:val="auto"/>
        <w:rPr>
          <w:rFonts w:hint="eastAsia" w:ascii="仿宋" w:hAnsi="仿宋" w:eastAsia="仿宋" w:cs="仿宋"/>
          <w:b/>
          <w:bCs/>
          <w:sz w:val="36"/>
          <w:szCs w:val="36"/>
          <w:highlight w:val="none"/>
        </w:rPr>
      </w:pPr>
      <w:bookmarkStart w:id="2" w:name="_Toc16275"/>
      <w:r>
        <w:rPr>
          <w:rFonts w:hint="eastAsia" w:ascii="仿宋" w:hAnsi="仿宋" w:eastAsia="仿宋" w:cs="仿宋"/>
          <w:b/>
          <w:bCs/>
          <w:sz w:val="36"/>
          <w:szCs w:val="36"/>
          <w:highlight w:val="none"/>
        </w:rPr>
        <w:t>投标须知</w:t>
      </w:r>
      <w:bookmarkStart w:id="3" w:name="_Toc227423102"/>
      <w:bookmarkStart w:id="4" w:name="_Toc291506255"/>
      <w:bookmarkStart w:id="5" w:name="_Toc24773"/>
    </w:p>
    <w:p w14:paraId="39967158">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rPr>
      </w:pPr>
    </w:p>
    <w:p w14:paraId="550D2AB1">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一、说明</w:t>
      </w:r>
      <w:bookmarkEnd w:id="3"/>
      <w:bookmarkEnd w:id="4"/>
      <w:bookmarkEnd w:id="5"/>
    </w:p>
    <w:p w14:paraId="211CA9B1">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（一）适用范围：本文件仅适用于本投标邀请中所述的采购项目。</w:t>
      </w:r>
    </w:p>
    <w:p w14:paraId="55183AF6">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（二）定义</w:t>
      </w:r>
    </w:p>
    <w:p w14:paraId="7399812A">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1.“采购人”</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发包人</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系指青岛碧海水务有限公司。</w:t>
      </w:r>
    </w:p>
    <w:p w14:paraId="3060F59E">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2.“投标人”</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报价人</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系指向采购人提交投标文件的供应商。</w:t>
      </w:r>
    </w:p>
    <w:p w14:paraId="15D12C74">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3.“中标人”</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成交供应商</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系指被确定为承接本项目并负责其实施的投标人。</w:t>
      </w:r>
    </w:p>
    <w:p w14:paraId="46563626">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（三）投标人应具备的条件</w:t>
      </w:r>
    </w:p>
    <w:p w14:paraId="4AB36A09">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1.满足</w:t>
      </w:r>
      <w:r>
        <w:rPr>
          <w:rFonts w:hint="eastAsia" w:ascii="仿宋" w:hAnsi="仿宋" w:eastAsia="仿宋" w:cs="仿宋"/>
          <w:sz w:val="28"/>
          <w:szCs w:val="28"/>
          <w:highlight w:val="none"/>
          <w:lang w:val="en-US" w:eastAsia="zh-CN"/>
        </w:rPr>
        <w:t>询价函</w:t>
      </w:r>
      <w:r>
        <w:rPr>
          <w:rFonts w:hint="eastAsia" w:ascii="仿宋" w:hAnsi="仿宋" w:eastAsia="仿宋" w:cs="仿宋"/>
          <w:sz w:val="28"/>
          <w:szCs w:val="28"/>
          <w:highlight w:val="none"/>
        </w:rPr>
        <w:t>中的资质规定。</w:t>
      </w:r>
    </w:p>
    <w:p w14:paraId="36A117F2">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2.投标工程/服务符合国家规定的技术标准和环保标准。</w:t>
      </w:r>
    </w:p>
    <w:p w14:paraId="03C9A96E">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3.满足本文件规定的要求。</w:t>
      </w:r>
    </w:p>
    <w:p w14:paraId="2B7D8E38">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（四）联合体投标：本项目不接受联合体投标。</w:t>
      </w:r>
    </w:p>
    <w:p w14:paraId="642FF8B3">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（五）投标有效期：从开标之日起，投标文件有效期为60天。投标有效期不足的，其投标无效。</w:t>
      </w:r>
    </w:p>
    <w:p w14:paraId="2BA61BBE">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（六）本文件的澄清、修改</w:t>
      </w:r>
    </w:p>
    <w:p w14:paraId="6DB226E9">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1.投标人收到本文件时，应进行检查；如认为采购文件存在不合理条款，公告时间及程序不符合规定的，应及时告知采购人澄清或处理。否则，由投标人自行承担所造成的不良后果。</w:t>
      </w:r>
    </w:p>
    <w:p w14:paraId="3725DDAF">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2.根据投标人提出的问题，采购人确定是否需统一召开标前踏勘及答疑会；如统一召开，将通知所有被邀请的投标人参加。</w:t>
      </w:r>
    </w:p>
    <w:p w14:paraId="4CCE96F7">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3.采购人对本文件进行必要澄清或修改的，应当在投标截止时间前，并以书面形式通知所有被邀请的供应商。该澄清或修改的内容为本文件的组成部分。</w:t>
      </w:r>
    </w:p>
    <w:p w14:paraId="3F627AFA">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（七）投标费用：无论投标结果如何，投标人自行承担所有与投标有关的全部费用。</w:t>
      </w:r>
    </w:p>
    <w:p w14:paraId="70E6C099">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rPr>
      </w:pPr>
      <w:bookmarkStart w:id="6" w:name="_Toc14721"/>
      <w:bookmarkStart w:id="7" w:name="_Toc227423103"/>
      <w:bookmarkStart w:id="8" w:name="_Toc291506256"/>
      <w:r>
        <w:rPr>
          <w:rFonts w:hint="eastAsia" w:ascii="仿宋" w:hAnsi="仿宋" w:eastAsia="仿宋" w:cs="仿宋"/>
          <w:sz w:val="28"/>
          <w:szCs w:val="28"/>
          <w:highlight w:val="none"/>
        </w:rPr>
        <w:t>二、投标文件的编写</w:t>
      </w:r>
      <w:bookmarkEnd w:id="6"/>
      <w:bookmarkEnd w:id="7"/>
      <w:bookmarkEnd w:id="8"/>
    </w:p>
    <w:p w14:paraId="14260A05">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（一）一般要求</w:t>
      </w:r>
    </w:p>
    <w:p w14:paraId="0952C3C2">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1.投标人应仔细阅读本文件的所有内容，按本文件的要求编制投标文件，并保证所提供的全部资料真实有效。</w:t>
      </w:r>
    </w:p>
    <w:p w14:paraId="09A14A59">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2.投标文件的书面内容不得有加行、涂抹或改写。</w:t>
      </w:r>
    </w:p>
    <w:p w14:paraId="1AE8B587">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3.投标文件应当采用书面方式；招标采购单位不接受电报、电话、传真投标。</w:t>
      </w:r>
    </w:p>
    <w:p w14:paraId="2437502D">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（二）投标文件的组成</w:t>
      </w:r>
    </w:p>
    <w:p w14:paraId="0A7E568B">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1.投标文件应包括的内容详见本文件“第</w:t>
      </w:r>
      <w:r>
        <w:rPr>
          <w:rFonts w:hint="eastAsia" w:ascii="仿宋" w:hAnsi="仿宋" w:eastAsia="仿宋" w:cs="仿宋"/>
          <w:sz w:val="28"/>
          <w:szCs w:val="28"/>
          <w:highlight w:val="none"/>
          <w:lang w:val="en-US" w:eastAsia="zh-CN"/>
        </w:rPr>
        <w:t>五</w:t>
      </w:r>
      <w:r>
        <w:rPr>
          <w:rFonts w:hint="eastAsia" w:ascii="仿宋" w:hAnsi="仿宋" w:eastAsia="仿宋" w:cs="仿宋"/>
          <w:sz w:val="28"/>
          <w:szCs w:val="28"/>
          <w:highlight w:val="none"/>
        </w:rPr>
        <w:t>章投标文件编制”。</w:t>
      </w:r>
    </w:p>
    <w:p w14:paraId="0724A55B">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2.除本文件另有规定外，计量单位为我国法定计量单位。</w:t>
      </w:r>
    </w:p>
    <w:p w14:paraId="6154BABD">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（三）投标报价</w:t>
      </w:r>
    </w:p>
    <w:p w14:paraId="77E2168D">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1.投标人应按本文件提出的采购范围、内容及要求进行报价。</w:t>
      </w:r>
    </w:p>
    <w:p w14:paraId="1FFB1808">
      <w:pPr>
        <w:pageBreakBefore w:val="0"/>
        <w:widowControl w:val="0"/>
        <w:numPr>
          <w:ilvl w:val="0"/>
          <w:numId w:val="0"/>
        </w:numPr>
        <w:kinsoku/>
        <w:wordWrap/>
        <w:overflowPunct/>
        <w:topLinePunct w:val="0"/>
        <w:autoSpaceDE/>
        <w:autoSpaceDN/>
        <w:bidi w:val="0"/>
        <w:adjustRightInd/>
        <w:snapToGrid/>
        <w:spacing w:line="360" w:lineRule="auto"/>
        <w:ind w:left="6" w:leftChars="0" w:firstLine="560" w:firstLineChars="200"/>
        <w:textAlignment w:val="auto"/>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rPr>
        <w:t>2.除本文件另有规定外，投标报价为</w:t>
      </w:r>
      <w:r>
        <w:rPr>
          <w:rFonts w:hint="eastAsia" w:ascii="仿宋" w:hAnsi="仿宋" w:eastAsia="仿宋" w:cs="仿宋"/>
          <w:b w:val="0"/>
          <w:bCs w:val="0"/>
          <w:sz w:val="28"/>
          <w:szCs w:val="28"/>
          <w:highlight w:val="none"/>
          <w:lang w:val="en-US" w:eastAsia="zh-CN"/>
        </w:rPr>
        <w:t>本次采购项目的全部价格，</w:t>
      </w:r>
      <w:r>
        <w:rPr>
          <w:rFonts w:hint="eastAsia" w:ascii="仿宋" w:hAnsi="仿宋" w:eastAsia="仿宋" w:cs="仿宋"/>
          <w:w w:val="95"/>
          <w:sz w:val="28"/>
          <w:szCs w:val="28"/>
          <w:highlight w:val="none"/>
          <w:lang w:val="zh-CN" w:eastAsia="zh-CN" w:bidi="zh-CN"/>
        </w:rPr>
        <w:t>包括但不限于材料费、人工费、管理费、保险费、包装费、装卸费、运输费、税金、利润等。</w:t>
      </w:r>
    </w:p>
    <w:p w14:paraId="5DB09251">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rPr>
      </w:pPr>
      <w:bookmarkStart w:id="9" w:name="_Toc291506257"/>
      <w:bookmarkStart w:id="10" w:name="_Toc15890"/>
      <w:bookmarkStart w:id="11" w:name="_Toc227423920"/>
      <w:r>
        <w:rPr>
          <w:rFonts w:hint="eastAsia" w:ascii="仿宋" w:hAnsi="仿宋" w:eastAsia="仿宋" w:cs="仿宋"/>
          <w:sz w:val="28"/>
          <w:szCs w:val="28"/>
          <w:highlight w:val="none"/>
        </w:rPr>
        <w:t>三、投标文件的递交</w:t>
      </w:r>
      <w:bookmarkEnd w:id="9"/>
      <w:bookmarkEnd w:id="10"/>
      <w:bookmarkEnd w:id="11"/>
    </w:p>
    <w:p w14:paraId="5A24FB52">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1.投标文件的送达：投标文件应在投标截止时间前送达采购单位。</w:t>
      </w:r>
    </w:p>
    <w:p w14:paraId="36202C0D">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2.投标截止时间前，投标人可对所递交的投标文件进行补充、修改或撤回。</w:t>
      </w:r>
    </w:p>
    <w:p w14:paraId="217B328D">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3.投标人补充、修改或撤回时，须向招标采购单位出示加盖公章、经法人代表或授权代表（需出示有关证明）签字的函件。</w:t>
      </w:r>
    </w:p>
    <w:p w14:paraId="4DA078FD">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4.补充、修改的内容应当按照本文件的规定签署盖章，并密封。</w:t>
      </w:r>
    </w:p>
    <w:p w14:paraId="08A040B7">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5.补充、修改文件是投标文件的组成部分。</w:t>
      </w:r>
    </w:p>
    <w:p w14:paraId="02CEF0ED">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6.投标截止后，投标人不得补充、修改或撤回投标文件；但可以在开标前出示加盖公章、经法人代表或授权代表（需出示有关证明）签字的函件通知放弃投标。</w:t>
      </w:r>
    </w:p>
    <w:p w14:paraId="51475355">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四、</w:t>
      </w:r>
      <w:r>
        <w:rPr>
          <w:rFonts w:hint="eastAsia" w:ascii="仿宋" w:hAnsi="仿宋" w:eastAsia="仿宋" w:cs="仿宋"/>
          <w:sz w:val="28"/>
          <w:szCs w:val="28"/>
          <w:highlight w:val="none"/>
          <w:lang w:val="en-US" w:eastAsia="zh-CN"/>
        </w:rPr>
        <w:t>采购人成立</w:t>
      </w:r>
      <w:r>
        <w:rPr>
          <w:rFonts w:hint="eastAsia" w:ascii="仿宋" w:hAnsi="仿宋" w:eastAsia="仿宋" w:cs="仿宋"/>
          <w:sz w:val="28"/>
          <w:szCs w:val="28"/>
          <w:highlight w:val="none"/>
        </w:rPr>
        <w:t>采购评审小组独立履行下列职责：</w:t>
      </w:r>
    </w:p>
    <w:p w14:paraId="24560D53">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（一）审查投标文件是否符合本</w:t>
      </w:r>
      <w:r>
        <w:rPr>
          <w:rFonts w:hint="eastAsia" w:ascii="仿宋" w:hAnsi="仿宋" w:eastAsia="仿宋" w:cs="仿宋"/>
          <w:sz w:val="28"/>
          <w:szCs w:val="28"/>
          <w:highlight w:val="none"/>
          <w:lang w:val="en-US" w:eastAsia="zh-CN"/>
        </w:rPr>
        <w:t>采购</w:t>
      </w:r>
      <w:r>
        <w:rPr>
          <w:rFonts w:hint="eastAsia" w:ascii="仿宋" w:hAnsi="仿宋" w:eastAsia="仿宋" w:cs="仿宋"/>
          <w:sz w:val="28"/>
          <w:szCs w:val="28"/>
          <w:highlight w:val="none"/>
        </w:rPr>
        <w:t>文件要求；</w:t>
      </w:r>
    </w:p>
    <w:p w14:paraId="46D27695">
      <w:pPr>
        <w:pageBreakBefore w:val="0"/>
        <w:shd w:val="clear"/>
        <w:kinsoku/>
        <w:wordWrap/>
        <w:overflowPunct/>
        <w:autoSpaceDE/>
        <w:autoSpaceDN/>
        <w:bidi w:val="0"/>
        <w:adjustRightInd w:val="0"/>
        <w:snapToGrid w:val="0"/>
        <w:spacing w:line="360" w:lineRule="auto"/>
        <w:ind w:left="0" w:leftChars="0" w:firstLine="0" w:firstLineChars="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 xml:space="preserve">    （二）确定中标</w:t>
      </w:r>
      <w:r>
        <w:rPr>
          <w:rFonts w:hint="eastAsia" w:ascii="仿宋" w:hAnsi="仿宋" w:eastAsia="仿宋" w:cs="仿宋"/>
          <w:sz w:val="28"/>
          <w:szCs w:val="28"/>
          <w:highlight w:val="none"/>
          <w:lang w:val="en-US" w:eastAsia="zh-CN"/>
        </w:rPr>
        <w:t>供应商</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 xml:space="preserve"> </w:t>
      </w:r>
    </w:p>
    <w:p w14:paraId="269780AF">
      <w:pPr>
        <w:pageBreakBefore w:val="0"/>
        <w:shd w:val="clear"/>
        <w:kinsoku/>
        <w:wordWrap/>
        <w:overflowPunct/>
        <w:autoSpaceDE/>
        <w:autoSpaceDN/>
        <w:bidi w:val="0"/>
        <w:adjustRightInd w:val="0"/>
        <w:snapToGrid w:val="0"/>
        <w:spacing w:line="360" w:lineRule="auto"/>
        <w:ind w:left="0" w:leftChars="0" w:firstLine="484" w:firstLineChars="173"/>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五、投标人有下列情形之一的，视为无效投标。</w:t>
      </w:r>
    </w:p>
    <w:p w14:paraId="1AFE165F">
      <w:pPr>
        <w:pageBreakBefore w:val="0"/>
        <w:shd w:val="clear"/>
        <w:kinsoku/>
        <w:wordWrap/>
        <w:overflowPunct/>
        <w:autoSpaceDE/>
        <w:autoSpaceDN/>
        <w:bidi w:val="0"/>
        <w:adjustRightInd w:val="0"/>
        <w:snapToGrid w:val="0"/>
        <w:spacing w:line="360" w:lineRule="auto"/>
        <w:ind w:left="0" w:leftChars="0" w:firstLine="0" w:firstLineChars="0"/>
        <w:jc w:val="both"/>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 xml:space="preserve">   （</w:t>
      </w:r>
      <w:r>
        <w:rPr>
          <w:rFonts w:hint="eastAsia" w:ascii="仿宋" w:hAnsi="仿宋" w:eastAsia="仿宋" w:cs="仿宋"/>
          <w:sz w:val="28"/>
          <w:szCs w:val="28"/>
          <w:highlight w:val="none"/>
          <w:lang w:val="en-US" w:eastAsia="zh-CN"/>
        </w:rPr>
        <w:t>一</w:t>
      </w:r>
      <w:r>
        <w:rPr>
          <w:rFonts w:hint="eastAsia" w:ascii="仿宋" w:hAnsi="仿宋" w:eastAsia="仿宋" w:cs="仿宋"/>
          <w:sz w:val="28"/>
          <w:szCs w:val="28"/>
          <w:highlight w:val="none"/>
        </w:rPr>
        <w:t>）超出营业执照经营范围投标的；</w:t>
      </w:r>
    </w:p>
    <w:p w14:paraId="7F7C1CD9">
      <w:pPr>
        <w:pageBreakBefore w:val="0"/>
        <w:shd w:val="clear"/>
        <w:kinsoku/>
        <w:wordWrap/>
        <w:overflowPunct/>
        <w:autoSpaceDE/>
        <w:autoSpaceDN/>
        <w:bidi w:val="0"/>
        <w:adjustRightInd w:val="0"/>
        <w:snapToGrid w:val="0"/>
        <w:spacing w:line="360" w:lineRule="auto"/>
        <w:ind w:left="0" w:leftChars="0" w:firstLine="0" w:firstLineChars="0"/>
        <w:jc w:val="both"/>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 xml:space="preserve">   （</w:t>
      </w:r>
      <w:r>
        <w:rPr>
          <w:rFonts w:hint="eastAsia" w:ascii="仿宋" w:hAnsi="仿宋" w:eastAsia="仿宋" w:cs="仿宋"/>
          <w:sz w:val="28"/>
          <w:szCs w:val="28"/>
          <w:highlight w:val="none"/>
          <w:lang w:val="en-US" w:eastAsia="zh-CN"/>
        </w:rPr>
        <w:t>二</w:t>
      </w:r>
      <w:r>
        <w:rPr>
          <w:rFonts w:hint="eastAsia" w:ascii="仿宋" w:hAnsi="仿宋" w:eastAsia="仿宋" w:cs="仿宋"/>
          <w:sz w:val="28"/>
          <w:szCs w:val="28"/>
          <w:highlight w:val="none"/>
        </w:rPr>
        <w:t>）投标文件不符合采购文件要求的；</w:t>
      </w:r>
    </w:p>
    <w:p w14:paraId="7A755018">
      <w:pPr>
        <w:pageBreakBefore w:val="0"/>
        <w:shd w:val="clear"/>
        <w:kinsoku/>
        <w:wordWrap/>
        <w:overflowPunct/>
        <w:autoSpaceDE/>
        <w:autoSpaceDN/>
        <w:bidi w:val="0"/>
        <w:adjustRightInd w:val="0"/>
        <w:snapToGrid w:val="0"/>
        <w:spacing w:line="360" w:lineRule="auto"/>
        <w:ind w:left="0" w:leftChars="0" w:firstLine="0" w:firstLineChars="0"/>
        <w:jc w:val="both"/>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 xml:space="preserve">   （</w:t>
      </w:r>
      <w:r>
        <w:rPr>
          <w:rFonts w:hint="eastAsia" w:ascii="仿宋" w:hAnsi="仿宋" w:eastAsia="仿宋" w:cs="仿宋"/>
          <w:sz w:val="28"/>
          <w:szCs w:val="28"/>
          <w:highlight w:val="none"/>
          <w:lang w:val="en-US" w:eastAsia="zh-CN"/>
        </w:rPr>
        <w:t>三</w:t>
      </w:r>
      <w:r>
        <w:rPr>
          <w:rFonts w:hint="eastAsia" w:ascii="仿宋" w:hAnsi="仿宋" w:eastAsia="仿宋" w:cs="仿宋"/>
          <w:sz w:val="28"/>
          <w:szCs w:val="28"/>
          <w:highlight w:val="none"/>
        </w:rPr>
        <w:t>）投标文件与事实不符的；</w:t>
      </w:r>
    </w:p>
    <w:p w14:paraId="675A8DD2">
      <w:pPr>
        <w:pageBreakBefore w:val="0"/>
        <w:shd w:val="clear"/>
        <w:kinsoku/>
        <w:wordWrap/>
        <w:overflowPunct/>
        <w:autoSpaceDE/>
        <w:autoSpaceDN/>
        <w:bidi w:val="0"/>
        <w:adjustRightInd w:val="0"/>
        <w:snapToGrid w:val="0"/>
        <w:spacing w:line="360" w:lineRule="auto"/>
        <w:ind w:left="0" w:leftChars="0" w:firstLine="0" w:firstLineChars="0"/>
        <w:jc w:val="both"/>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 xml:space="preserve">   （</w:t>
      </w:r>
      <w:r>
        <w:rPr>
          <w:rFonts w:hint="eastAsia" w:ascii="仿宋" w:hAnsi="仿宋" w:eastAsia="仿宋" w:cs="仿宋"/>
          <w:sz w:val="28"/>
          <w:szCs w:val="28"/>
          <w:highlight w:val="none"/>
          <w:lang w:val="en-US" w:eastAsia="zh-CN"/>
        </w:rPr>
        <w:t>四</w:t>
      </w:r>
      <w:r>
        <w:rPr>
          <w:rFonts w:hint="eastAsia" w:ascii="仿宋" w:hAnsi="仿宋" w:eastAsia="仿宋" w:cs="仿宋"/>
          <w:sz w:val="28"/>
          <w:szCs w:val="28"/>
          <w:highlight w:val="none"/>
        </w:rPr>
        <w:t>）经采购评审小组一致认定为重大偏离的；</w:t>
      </w:r>
    </w:p>
    <w:p w14:paraId="3301BFE9">
      <w:pPr>
        <w:pageBreakBefore w:val="0"/>
        <w:shd w:val="clear"/>
        <w:kinsoku/>
        <w:wordWrap/>
        <w:overflowPunct/>
        <w:autoSpaceDE/>
        <w:autoSpaceDN/>
        <w:bidi w:val="0"/>
        <w:adjustRightInd w:val="0"/>
        <w:snapToGrid w:val="0"/>
        <w:spacing w:line="360" w:lineRule="auto"/>
        <w:ind w:left="0" w:leftChars="0" w:firstLine="0" w:firstLineChars="0"/>
        <w:jc w:val="both"/>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 xml:space="preserve">   （</w:t>
      </w:r>
      <w:r>
        <w:rPr>
          <w:rFonts w:hint="eastAsia" w:ascii="仿宋" w:hAnsi="仿宋" w:eastAsia="仿宋" w:cs="仿宋"/>
          <w:sz w:val="28"/>
          <w:szCs w:val="28"/>
          <w:highlight w:val="none"/>
          <w:lang w:val="en-US" w:eastAsia="zh-CN"/>
        </w:rPr>
        <w:t>五</w:t>
      </w:r>
      <w:r>
        <w:rPr>
          <w:rFonts w:hint="eastAsia" w:ascii="仿宋" w:hAnsi="仿宋" w:eastAsia="仿宋" w:cs="仿宋"/>
          <w:sz w:val="28"/>
          <w:szCs w:val="28"/>
          <w:highlight w:val="none"/>
        </w:rPr>
        <w:t>）不符合法律、法规有关规定的。</w:t>
      </w:r>
      <w:r>
        <w:rPr>
          <w:rFonts w:hint="eastAsia" w:ascii="仿宋" w:hAnsi="仿宋" w:eastAsia="仿宋" w:cs="仿宋"/>
          <w:sz w:val="28"/>
          <w:szCs w:val="28"/>
          <w:highlight w:val="none"/>
        </w:rPr>
        <w:tab/>
      </w:r>
    </w:p>
    <w:p w14:paraId="573B6FA0">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b w:val="0"/>
          <w:bCs w:val="0"/>
          <w:sz w:val="28"/>
          <w:szCs w:val="28"/>
          <w:highlight w:val="none"/>
        </w:rPr>
      </w:pPr>
      <w:bookmarkStart w:id="12" w:name="_Toc227423923"/>
      <w:bookmarkStart w:id="13" w:name="_Toc7133"/>
      <w:r>
        <w:rPr>
          <w:rFonts w:hint="eastAsia" w:ascii="仿宋" w:hAnsi="仿宋" w:eastAsia="仿宋" w:cs="仿宋"/>
          <w:b w:val="0"/>
          <w:bCs w:val="0"/>
          <w:sz w:val="28"/>
          <w:szCs w:val="28"/>
          <w:highlight w:val="none"/>
        </w:rPr>
        <w:t>六、评标方法及标准</w:t>
      </w:r>
      <w:bookmarkEnd w:id="12"/>
      <w:bookmarkEnd w:id="13"/>
    </w:p>
    <w:p w14:paraId="598B2A5F">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lang w:val="en-US" w:eastAsia="zh-CN"/>
        </w:rPr>
        <w:t>（一）</w:t>
      </w:r>
      <w:r>
        <w:rPr>
          <w:rFonts w:hint="eastAsia" w:ascii="仿宋" w:hAnsi="仿宋" w:eastAsia="仿宋" w:cs="仿宋"/>
          <w:sz w:val="28"/>
          <w:szCs w:val="28"/>
          <w:highlight w:val="none"/>
        </w:rPr>
        <w:t>评标方法：</w:t>
      </w:r>
      <w:r>
        <w:rPr>
          <w:rFonts w:hint="eastAsia" w:ascii="仿宋" w:hAnsi="仿宋" w:eastAsia="仿宋" w:cs="仿宋"/>
          <w:sz w:val="28"/>
          <w:szCs w:val="28"/>
          <w:highlight w:val="none"/>
          <w:lang w:val="en-US" w:eastAsia="zh-CN"/>
        </w:rPr>
        <w:t>最低价中标</w:t>
      </w:r>
      <w:r>
        <w:rPr>
          <w:rFonts w:hint="eastAsia" w:ascii="仿宋" w:hAnsi="仿宋" w:eastAsia="仿宋" w:cs="仿宋"/>
          <w:sz w:val="28"/>
          <w:szCs w:val="28"/>
          <w:highlight w:val="none"/>
          <w:lang w:eastAsia="zh-CN"/>
        </w:rPr>
        <w:t>。</w:t>
      </w:r>
    </w:p>
    <w:p w14:paraId="61C27F38">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二</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评标标准：</w:t>
      </w:r>
      <w:r>
        <w:rPr>
          <w:rFonts w:hint="eastAsia" w:ascii="仿宋" w:hAnsi="仿宋" w:eastAsia="仿宋" w:cs="仿宋"/>
          <w:sz w:val="28"/>
          <w:szCs w:val="28"/>
          <w:highlight w:val="none"/>
        </w:rPr>
        <w:t>以下</w:t>
      </w:r>
      <w:r>
        <w:rPr>
          <w:rFonts w:hint="eastAsia" w:ascii="仿宋" w:hAnsi="仿宋" w:eastAsia="仿宋" w:cs="仿宋"/>
          <w:sz w:val="28"/>
          <w:szCs w:val="28"/>
          <w:highlight w:val="none"/>
          <w:lang w:val="en-US" w:eastAsia="zh-CN"/>
        </w:rPr>
        <w:t>2项</w:t>
      </w:r>
      <w:r>
        <w:rPr>
          <w:rFonts w:hint="eastAsia" w:ascii="仿宋" w:hAnsi="仿宋" w:eastAsia="仿宋" w:cs="仿宋"/>
          <w:sz w:val="28"/>
          <w:szCs w:val="28"/>
          <w:highlight w:val="none"/>
        </w:rPr>
        <w:t>条件</w:t>
      </w:r>
      <w:r>
        <w:rPr>
          <w:rFonts w:hint="eastAsia" w:ascii="仿宋" w:hAnsi="仿宋" w:eastAsia="仿宋" w:cs="仿宋"/>
          <w:sz w:val="28"/>
          <w:szCs w:val="28"/>
          <w:highlight w:val="none"/>
          <w:lang w:val="en-US" w:eastAsia="zh-CN"/>
        </w:rPr>
        <w:t>同时</w:t>
      </w:r>
      <w:r>
        <w:rPr>
          <w:rFonts w:hint="eastAsia" w:ascii="仿宋" w:hAnsi="仿宋" w:eastAsia="仿宋" w:cs="仿宋"/>
          <w:sz w:val="28"/>
          <w:szCs w:val="28"/>
          <w:highlight w:val="none"/>
        </w:rPr>
        <w:t>满足者中标：</w:t>
      </w:r>
    </w:p>
    <w:p w14:paraId="4C1099F4">
      <w:pPr>
        <w:pageBreakBefore w:val="0"/>
        <w:numPr>
          <w:ilvl w:val="0"/>
          <w:numId w:val="6"/>
        </w:numPr>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满足投标资格及所有询价条件；</w:t>
      </w:r>
    </w:p>
    <w:p w14:paraId="213ADA19">
      <w:pPr>
        <w:pageBreakBefore w:val="0"/>
        <w:numPr>
          <w:ilvl w:val="0"/>
          <w:numId w:val="6"/>
        </w:numPr>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lang w:val="en-US" w:eastAsia="zh-CN"/>
        </w:rPr>
        <w:t>价格最低者。</w:t>
      </w:r>
    </w:p>
    <w:p w14:paraId="15CB1FCD">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rPr>
      </w:pPr>
      <w:bookmarkStart w:id="14" w:name="_Toc2364"/>
      <w:bookmarkStart w:id="15" w:name="_Toc227423924"/>
      <w:bookmarkStart w:id="16" w:name="_Toc291506261"/>
      <w:r>
        <w:rPr>
          <w:rFonts w:hint="eastAsia" w:ascii="仿宋" w:hAnsi="仿宋" w:eastAsia="仿宋" w:cs="仿宋"/>
          <w:sz w:val="28"/>
          <w:szCs w:val="28"/>
          <w:highlight w:val="none"/>
        </w:rPr>
        <w:t>七、中标及合同签订</w:t>
      </w:r>
      <w:bookmarkEnd w:id="14"/>
      <w:bookmarkEnd w:id="15"/>
      <w:bookmarkEnd w:id="16"/>
    </w:p>
    <w:p w14:paraId="0CC79B27">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（一）中标通知</w:t>
      </w:r>
    </w:p>
    <w:p w14:paraId="12B4B0A2">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1.评标结束，确定中标人后，采购人将</w:t>
      </w:r>
      <w:r>
        <w:rPr>
          <w:rFonts w:hint="eastAsia" w:ascii="仿宋" w:hAnsi="仿宋" w:eastAsia="仿宋" w:cs="仿宋"/>
          <w:sz w:val="28"/>
          <w:szCs w:val="28"/>
          <w:highlight w:val="none"/>
          <w:lang w:val="en-US" w:eastAsia="zh-CN"/>
        </w:rPr>
        <w:t>成交结果发布在发布询价函的网站上</w:t>
      </w:r>
      <w:r>
        <w:rPr>
          <w:rFonts w:hint="eastAsia" w:ascii="仿宋" w:hAnsi="仿宋" w:eastAsia="仿宋" w:cs="仿宋"/>
          <w:sz w:val="28"/>
          <w:szCs w:val="28"/>
          <w:highlight w:val="none"/>
        </w:rPr>
        <w:t>。</w:t>
      </w:r>
    </w:p>
    <w:p w14:paraId="103C75E4">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2.招标采购单位不向落标的投标人解释落标原因，不退还投标文件。</w:t>
      </w:r>
    </w:p>
    <w:p w14:paraId="5FEDE6D3">
      <w:pPr>
        <w:pageBreakBefore w:val="0"/>
        <w:shd w:val="clear"/>
        <w:kinsoku/>
        <w:wordWrap/>
        <w:overflowPunct/>
        <w:topLine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3.中标人有下列情形之一的，中标无效</w:t>
      </w:r>
      <w:commentRangeStart w:id="5"/>
      <w:r>
        <w:rPr>
          <w:rFonts w:hint="eastAsia" w:ascii="仿宋" w:hAnsi="仿宋" w:eastAsia="仿宋" w:cs="仿宋"/>
          <w:sz w:val="28"/>
          <w:szCs w:val="28"/>
          <w:highlight w:val="none"/>
        </w:rPr>
        <w:t>：</w:t>
      </w:r>
      <w:commentRangeEnd w:id="5"/>
      <w:r>
        <w:rPr>
          <w:highlight w:val="none"/>
        </w:rPr>
        <w:commentReference w:id="5"/>
      </w:r>
    </w:p>
    <w:p w14:paraId="71F61A10">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（1）中标后无正当理由不与采购人签订合同，或者与采购人另行订立背离合同实质性内容的协议的；</w:t>
      </w:r>
    </w:p>
    <w:p w14:paraId="20FEB092">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（2）将中标项目转让给他人，或者在投标文件中未说明，且未经采购人同意，将中标项目分包给他人的；</w:t>
      </w:r>
    </w:p>
    <w:p w14:paraId="4551C97F">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（3）拒绝履行合同义务的。</w:t>
      </w:r>
    </w:p>
    <w:p w14:paraId="5300B0AA">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（二）合同签订</w:t>
      </w:r>
    </w:p>
    <w:p w14:paraId="1109196C">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1.签订合同前，采购人可对中标人的投标文件（含答复、补充文件）进行真实性查验，凡有虚假的，其中标无效，并依据有关规定给予违法违规处理。</w:t>
      </w:r>
    </w:p>
    <w:p w14:paraId="0C4AE884">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2.采购人在中标通知书发布之日起30日内，与中标人按范本格式制作并签订采购合同。项目数量增减、合同条款变更等按采购人相关规定另行签订补充合同。</w:t>
      </w:r>
    </w:p>
    <w:p w14:paraId="1DD8DCAD">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3.本文件（含补充、修改文件）、中标人的投标文件（含答复、补充文件）均为签订采购合同的依据。</w:t>
      </w:r>
    </w:p>
    <w:p w14:paraId="7133B430">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4.中标人因不可抗力或自身原因不能签订采购合同或者不能履行合同的，采购人重新进行采购</w:t>
      </w:r>
      <w:commentRangeStart w:id="6"/>
      <w:r>
        <w:rPr>
          <w:rFonts w:hint="eastAsia" w:ascii="仿宋" w:hAnsi="仿宋" w:eastAsia="仿宋" w:cs="仿宋"/>
          <w:sz w:val="28"/>
          <w:szCs w:val="28"/>
          <w:highlight w:val="none"/>
        </w:rPr>
        <w:t>。</w:t>
      </w:r>
      <w:commentRangeEnd w:id="6"/>
      <w:r>
        <w:rPr>
          <w:highlight w:val="none"/>
        </w:rPr>
        <w:commentReference w:id="6"/>
      </w:r>
    </w:p>
    <w:p w14:paraId="09E753DB">
      <w:pPr>
        <w:pageBreakBefore w:val="0"/>
        <w:shd w:val="clear"/>
        <w:kinsoku/>
        <w:wordWrap/>
        <w:overflowPunct/>
        <w:topLine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5.合同履行中，根据实际需求，采购人需追加采购合同标的之外的</w:t>
      </w:r>
      <w:r>
        <w:rPr>
          <w:rFonts w:hint="eastAsia" w:ascii="仿宋" w:hAnsi="仿宋" w:eastAsia="仿宋" w:cs="仿宋"/>
          <w:sz w:val="28"/>
          <w:szCs w:val="28"/>
          <w:highlight w:val="none"/>
          <w:lang w:val="en-US" w:eastAsia="zh-CN"/>
        </w:rPr>
        <w:t>项目</w:t>
      </w:r>
      <w:r>
        <w:rPr>
          <w:rFonts w:hint="eastAsia" w:ascii="仿宋" w:hAnsi="仿宋" w:eastAsia="仿宋" w:cs="仿宋"/>
          <w:sz w:val="28"/>
          <w:szCs w:val="28"/>
          <w:highlight w:val="none"/>
        </w:rPr>
        <w:t>，可与中标</w:t>
      </w:r>
      <w:r>
        <w:rPr>
          <w:rFonts w:hint="eastAsia" w:ascii="仿宋" w:hAnsi="仿宋" w:eastAsia="仿宋" w:cs="仿宋"/>
          <w:sz w:val="28"/>
          <w:szCs w:val="28"/>
          <w:highlight w:val="none"/>
          <w:lang w:val="en-US" w:eastAsia="zh-CN"/>
        </w:rPr>
        <w:t>供应商</w:t>
      </w:r>
      <w:r>
        <w:rPr>
          <w:rFonts w:hint="eastAsia" w:ascii="仿宋" w:hAnsi="仿宋" w:eastAsia="仿宋" w:cs="仿宋"/>
          <w:sz w:val="28"/>
          <w:szCs w:val="28"/>
          <w:highlight w:val="none"/>
        </w:rPr>
        <w:t>就</w:t>
      </w:r>
      <w:r>
        <w:rPr>
          <w:rFonts w:hint="eastAsia" w:ascii="仿宋" w:hAnsi="仿宋" w:eastAsia="仿宋" w:cs="仿宋"/>
          <w:sz w:val="28"/>
          <w:szCs w:val="28"/>
          <w:highlight w:val="none"/>
          <w:lang w:val="en-US" w:eastAsia="zh-CN"/>
        </w:rPr>
        <w:t>费用</w:t>
      </w:r>
      <w:r>
        <w:rPr>
          <w:rFonts w:hint="eastAsia" w:ascii="仿宋" w:hAnsi="仿宋" w:eastAsia="仿宋" w:cs="仿宋"/>
          <w:sz w:val="28"/>
          <w:szCs w:val="28"/>
          <w:highlight w:val="none"/>
        </w:rPr>
        <w:t>进行协商谈判后，</w:t>
      </w:r>
      <w:r>
        <w:rPr>
          <w:rFonts w:hint="eastAsia" w:ascii="仿宋" w:hAnsi="仿宋" w:eastAsia="仿宋" w:cs="仿宋"/>
          <w:sz w:val="28"/>
          <w:szCs w:val="28"/>
          <w:highlight w:val="none"/>
          <w:lang w:val="en-US" w:eastAsia="zh-CN"/>
        </w:rPr>
        <w:t>签订补充协议</w:t>
      </w:r>
      <w:r>
        <w:rPr>
          <w:rFonts w:hint="eastAsia" w:ascii="仿宋" w:hAnsi="仿宋" w:eastAsia="仿宋" w:cs="仿宋"/>
          <w:sz w:val="28"/>
          <w:szCs w:val="28"/>
          <w:highlight w:val="none"/>
        </w:rPr>
        <w:t>。</w:t>
      </w:r>
    </w:p>
    <w:p w14:paraId="797B8DDF">
      <w:pPr>
        <w:pageBreakBefore w:val="0"/>
        <w:shd w:val="clear"/>
        <w:kinsoku/>
        <w:wordWrap/>
        <w:overflowPunct/>
        <w:topLine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八、其他商务条件</w:t>
      </w:r>
    </w:p>
    <w:p w14:paraId="35522738">
      <w:pPr>
        <w:pageBreakBefore w:val="0"/>
        <w:shd w:val="clear"/>
        <w:kinsoku/>
        <w:wordWrap/>
        <w:overflowPunct/>
        <w:topLine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（一）交货期：按照甲方计划的时间内完成供货安装等服务。</w:t>
      </w:r>
    </w:p>
    <w:p w14:paraId="60A2A7DC">
      <w:pPr>
        <w:pageBreakBefore w:val="0"/>
        <w:numPr>
          <w:ilvl w:val="0"/>
          <w:numId w:val="0"/>
        </w:numPr>
        <w:shd w:val="clear"/>
        <w:kinsoku/>
        <w:wordWrap/>
        <w:overflowPunct/>
        <w:topLinePunct/>
        <w:autoSpaceDE/>
        <w:autoSpaceDN/>
        <w:bidi w:val="0"/>
        <w:adjustRightInd w:val="0"/>
        <w:snapToGrid w:val="0"/>
        <w:spacing w:line="360" w:lineRule="auto"/>
        <w:ind w:left="420" w:leftChars="200" w:firstLine="140" w:firstLineChars="5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lang w:val="en-US" w:eastAsia="zh-CN"/>
        </w:rPr>
        <w:t>（二）</w:t>
      </w:r>
      <w:r>
        <w:rPr>
          <w:rFonts w:hint="eastAsia" w:ascii="仿宋" w:hAnsi="仿宋" w:eastAsia="仿宋" w:cs="仿宋"/>
          <w:sz w:val="28"/>
          <w:szCs w:val="28"/>
          <w:highlight w:val="none"/>
        </w:rPr>
        <w:t>售后服务：成交供应商应提供及时周到的售后服务</w:t>
      </w:r>
      <w:r>
        <w:rPr>
          <w:rFonts w:hint="eastAsia" w:ascii="仿宋" w:hAnsi="仿宋" w:eastAsia="仿宋" w:cs="仿宋"/>
          <w:sz w:val="28"/>
          <w:szCs w:val="28"/>
          <w:highlight w:val="none"/>
          <w:lang w:eastAsia="zh-CN"/>
        </w:rPr>
        <w:t>，在</w:t>
      </w:r>
      <w:r>
        <w:rPr>
          <w:rFonts w:hint="eastAsia" w:ascii="仿宋" w:hAnsi="仿宋" w:eastAsia="仿宋" w:cs="仿宋"/>
          <w:sz w:val="28"/>
          <w:szCs w:val="28"/>
          <w:highlight w:val="none"/>
          <w:lang w:val="en-US" w:eastAsia="zh-CN"/>
        </w:rPr>
        <w:t>质保期内免费为甲方提供技术指导服务，因质量问题引起的故障免费维修，且维修产生的运费等均由乙方承担</w:t>
      </w:r>
      <w:r>
        <w:rPr>
          <w:rFonts w:hint="eastAsia" w:ascii="仿宋" w:hAnsi="仿宋" w:eastAsia="仿宋" w:cs="仿宋"/>
          <w:sz w:val="28"/>
          <w:szCs w:val="28"/>
          <w:highlight w:val="none"/>
        </w:rPr>
        <w:t>。</w:t>
      </w:r>
    </w:p>
    <w:p w14:paraId="25F52A87">
      <w:pPr>
        <w:pageBreakBefore w:val="0"/>
        <w:shd w:val="clear"/>
        <w:kinsoku/>
        <w:wordWrap/>
        <w:overflowPunct/>
        <w:topLine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三</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乙方货物及服务</w:t>
      </w:r>
      <w:r>
        <w:rPr>
          <w:rFonts w:hint="eastAsia" w:ascii="仿宋" w:hAnsi="仿宋" w:eastAsia="仿宋" w:cs="仿宋"/>
          <w:sz w:val="28"/>
          <w:szCs w:val="28"/>
          <w:highlight w:val="none"/>
        </w:rPr>
        <w:t>须符合甲方ISO国际标准质量、环境、职业安全健康一体化管理体系要求。</w:t>
      </w:r>
    </w:p>
    <w:p w14:paraId="1086FE60">
      <w:pPr>
        <w:pageBreakBefore w:val="0"/>
        <w:numPr>
          <w:ilvl w:val="0"/>
          <w:numId w:val="0"/>
        </w:numPr>
        <w:shd w:val="clear"/>
        <w:kinsoku/>
        <w:wordWrap/>
        <w:overflowPunct/>
        <w:topLinePunct/>
        <w:autoSpaceDE/>
        <w:autoSpaceDN/>
        <w:bidi w:val="0"/>
        <w:adjustRightInd w:val="0"/>
        <w:snapToGrid w:val="0"/>
        <w:spacing w:line="360" w:lineRule="auto"/>
        <w:ind w:left="420" w:leftChars="200" w:firstLine="140" w:firstLineChars="50"/>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（四）安全施工要求</w:t>
      </w:r>
    </w:p>
    <w:p w14:paraId="624C3511">
      <w:pPr>
        <w:pageBreakBefore w:val="0"/>
        <w:numPr>
          <w:ilvl w:val="0"/>
          <w:numId w:val="0"/>
        </w:numPr>
        <w:shd w:val="clear"/>
        <w:kinsoku/>
        <w:wordWrap/>
        <w:overflowPunct/>
        <w:topLinePunct/>
        <w:autoSpaceDE/>
        <w:autoSpaceDN/>
        <w:bidi w:val="0"/>
        <w:adjustRightInd w:val="0"/>
        <w:snapToGrid w:val="0"/>
        <w:spacing w:line="360" w:lineRule="auto"/>
        <w:ind w:leftChars="0" w:firstLine="560" w:firstLineChars="200"/>
        <w:textAlignment w:val="auto"/>
        <w:rPr>
          <w:rFonts w:hint="eastAsia" w:ascii="仿宋" w:hAnsi="仿宋" w:eastAsia="仿宋" w:cs="仿宋"/>
          <w:b w:val="0"/>
          <w:bCs/>
          <w:sz w:val="28"/>
          <w:szCs w:val="28"/>
          <w:highlight w:val="none"/>
          <w:lang w:val="en-US" w:eastAsia="zh-CN"/>
        </w:rPr>
      </w:pPr>
      <w:r>
        <w:rPr>
          <w:rFonts w:hint="eastAsia" w:ascii="仿宋" w:hAnsi="仿宋" w:eastAsia="仿宋" w:cs="仿宋"/>
          <w:b w:val="0"/>
          <w:bCs/>
          <w:sz w:val="28"/>
          <w:szCs w:val="28"/>
          <w:highlight w:val="none"/>
          <w:lang w:val="en-US" w:eastAsia="zh-CN"/>
        </w:rPr>
        <w:t>1.项目承包人应遵守国家法律、法规、制度、条例，依据国家和地方规范、标准，以及甲方提出的要求进行项目服务，在现场操作时必须遵守甲方的安全管理规定，一切因承包人现场操作不当造成的人身及经济损失均由乙方承担，并赔偿甲方经济损失。</w:t>
      </w:r>
    </w:p>
    <w:p w14:paraId="546220D7">
      <w:pPr>
        <w:pageBreakBefore w:val="0"/>
        <w:numPr>
          <w:ilvl w:val="0"/>
          <w:numId w:val="0"/>
        </w:numPr>
        <w:shd w:val="clear"/>
        <w:kinsoku/>
        <w:wordWrap/>
        <w:overflowPunct/>
        <w:topLinePunct/>
        <w:autoSpaceDE/>
        <w:autoSpaceDN/>
        <w:bidi w:val="0"/>
        <w:adjustRightInd w:val="0"/>
        <w:snapToGrid w:val="0"/>
        <w:spacing w:line="360" w:lineRule="auto"/>
        <w:ind w:leftChars="0" w:firstLine="560" w:firstLineChars="200"/>
        <w:textAlignment w:val="auto"/>
        <w:rPr>
          <w:rFonts w:hint="eastAsia" w:ascii="仿宋" w:hAnsi="仿宋" w:eastAsia="仿宋" w:cs="仿宋"/>
          <w:b w:val="0"/>
          <w:bCs/>
          <w:sz w:val="28"/>
          <w:szCs w:val="28"/>
          <w:highlight w:val="none"/>
          <w:lang w:val="en-US" w:eastAsia="zh-CN"/>
        </w:rPr>
      </w:pPr>
      <w:r>
        <w:rPr>
          <w:rFonts w:hint="eastAsia" w:ascii="仿宋" w:hAnsi="仿宋" w:eastAsia="仿宋" w:cs="仿宋"/>
          <w:b w:val="0"/>
          <w:bCs/>
          <w:sz w:val="28"/>
          <w:szCs w:val="28"/>
          <w:highlight w:val="none"/>
          <w:lang w:val="en-US" w:eastAsia="zh-CN"/>
        </w:rPr>
        <w:t>2.施工期间，项目承包人需遵守甲方的各种规章制度和工程的施工要求，在甲方限定的时间内完成相应的工作量。</w:t>
      </w:r>
    </w:p>
    <w:p w14:paraId="5D65B0BB">
      <w:pPr>
        <w:pageBreakBefore w:val="0"/>
        <w:numPr>
          <w:ilvl w:val="0"/>
          <w:numId w:val="0"/>
        </w:numPr>
        <w:shd w:val="clear"/>
        <w:kinsoku/>
        <w:wordWrap/>
        <w:overflowPunct/>
        <w:topLinePunct/>
        <w:autoSpaceDE/>
        <w:autoSpaceDN/>
        <w:bidi w:val="0"/>
        <w:adjustRightInd w:val="0"/>
        <w:snapToGrid w:val="0"/>
        <w:spacing w:line="360" w:lineRule="auto"/>
        <w:ind w:leftChars="0" w:firstLine="560" w:firstLineChars="200"/>
        <w:textAlignment w:val="auto"/>
        <w:rPr>
          <w:rFonts w:hint="eastAsia" w:ascii="仿宋" w:hAnsi="仿宋" w:eastAsia="仿宋" w:cs="仿宋"/>
          <w:b w:val="0"/>
          <w:bCs/>
          <w:sz w:val="28"/>
          <w:szCs w:val="28"/>
          <w:highlight w:val="none"/>
          <w:lang w:val="en-US" w:eastAsia="zh-CN"/>
        </w:rPr>
      </w:pPr>
      <w:r>
        <w:rPr>
          <w:rFonts w:hint="eastAsia" w:ascii="仿宋" w:hAnsi="仿宋" w:eastAsia="仿宋" w:cs="仿宋"/>
          <w:b w:val="0"/>
          <w:bCs/>
          <w:sz w:val="28"/>
          <w:szCs w:val="28"/>
          <w:highlight w:val="none"/>
          <w:lang w:val="en-US" w:eastAsia="zh-CN"/>
        </w:rPr>
        <w:t>3.乙方现场必须有项目负责人和安全责任人，并签订安全生产协议书，负责项目服务的质量和安全，出现意外情况，立即执行紧急方案。</w:t>
      </w:r>
    </w:p>
    <w:p w14:paraId="1211CE94">
      <w:pPr>
        <w:pStyle w:val="33"/>
        <w:numPr>
          <w:ilvl w:val="0"/>
          <w:numId w:val="0"/>
        </w:numPr>
        <w:ind w:firstLine="643" w:firstLineChars="200"/>
        <w:jc w:val="left"/>
        <w:rPr>
          <w:rFonts w:hint="eastAsia" w:ascii="宋体" w:hAnsi="宋体" w:eastAsia="宋体"/>
          <w:b/>
          <w:bCs/>
          <w:sz w:val="32"/>
          <w:szCs w:val="32"/>
        </w:rPr>
      </w:pPr>
      <w:r>
        <w:rPr>
          <w:rFonts w:hint="eastAsia" w:ascii="宋体" w:hAnsi="宋体" w:eastAsia="宋体"/>
          <w:b/>
          <w:bCs/>
          <w:sz w:val="32"/>
          <w:szCs w:val="32"/>
          <w:lang w:val="en-US" w:eastAsia="zh-CN"/>
        </w:rPr>
        <w:t>4.</w:t>
      </w:r>
      <w:r>
        <w:rPr>
          <w:rFonts w:hint="eastAsia" w:ascii="宋体" w:hAnsi="宋体" w:eastAsia="宋体"/>
          <w:b/>
          <w:bCs/>
          <w:sz w:val="32"/>
          <w:szCs w:val="32"/>
        </w:rPr>
        <w:t>因现场施工涉及带电操作，乙方现场工作人员需持有电工证，方可满足施工条件，且施工现场不少于2人。重要场合需甲方人员现场监督方可施工。</w:t>
      </w:r>
    </w:p>
    <w:p w14:paraId="75996DE7">
      <w:pPr>
        <w:pageBreakBefore w:val="0"/>
        <w:numPr>
          <w:ilvl w:val="0"/>
          <w:numId w:val="5"/>
        </w:numPr>
        <w:shd w:val="clear"/>
        <w:kinsoku/>
        <w:wordWrap/>
        <w:overflowPunct/>
        <w:autoSpaceDE/>
        <w:autoSpaceDN/>
        <w:bidi w:val="0"/>
        <w:adjustRightInd w:val="0"/>
        <w:snapToGrid w:val="0"/>
        <w:spacing w:line="360" w:lineRule="auto"/>
        <w:ind w:left="0" w:leftChars="0" w:firstLine="723" w:firstLineChars="200"/>
        <w:jc w:val="center"/>
        <w:textAlignment w:val="auto"/>
        <w:rPr>
          <w:rFonts w:hint="eastAsia" w:ascii="仿宋" w:hAnsi="仿宋" w:eastAsia="仿宋" w:cs="仿宋"/>
          <w:sz w:val="28"/>
          <w:szCs w:val="28"/>
          <w:highlight w:val="none"/>
        </w:rPr>
      </w:pPr>
      <w:r>
        <w:rPr>
          <w:rFonts w:hint="eastAsia" w:ascii="仿宋" w:hAnsi="仿宋" w:eastAsia="仿宋" w:cs="仿宋"/>
          <w:b/>
          <w:bCs/>
          <w:sz w:val="36"/>
          <w:szCs w:val="36"/>
          <w:highlight w:val="none"/>
          <w:lang w:val="en-US" w:eastAsia="zh-CN"/>
        </w:rPr>
        <w:t>技术标准、要求</w:t>
      </w:r>
      <w:bookmarkStart w:id="17" w:name="_Toc635"/>
      <w:bookmarkStart w:id="18" w:name="_Toc227520434"/>
    </w:p>
    <w:p w14:paraId="2F386DF6">
      <w:pPr>
        <w:pageBreakBefore w:val="0"/>
        <w:numPr>
          <w:ilvl w:val="0"/>
          <w:numId w:val="0"/>
        </w:numPr>
        <w:shd w:val="clear"/>
        <w:kinsoku/>
        <w:wordWrap/>
        <w:overflowPunct/>
        <w:topLinePunct/>
        <w:autoSpaceDE/>
        <w:autoSpaceDN/>
        <w:bidi w:val="0"/>
        <w:adjustRightInd w:val="0"/>
        <w:snapToGrid w:val="0"/>
        <w:spacing w:line="360" w:lineRule="auto"/>
        <w:ind w:leftChars="0"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w:t>
      </w:r>
    </w:p>
    <w:p w14:paraId="6B90D1C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r>
        <w:rPr>
          <w:color w:val="000000"/>
          <w:sz w:val="24"/>
          <w:szCs w:val="24"/>
        </w:rPr>
        <w:t>一、核心执行国标</w:t>
      </w:r>
    </w:p>
    <w:p w14:paraId="3368848F">
      <w:pPr>
        <w:keepNext w:val="0"/>
        <w:keepLines w:val="0"/>
        <w:widowControl/>
        <w:numPr>
          <w:ilvl w:val="0"/>
          <w:numId w:val="7"/>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4"/>
          <w:szCs w:val="24"/>
        </w:rPr>
      </w:pPr>
      <w:r>
        <w:rPr>
          <w:rStyle w:val="20"/>
          <w:color w:val="000000"/>
          <w:sz w:val="24"/>
          <w:szCs w:val="24"/>
        </w:rPr>
        <w:t>GB 50303-2015《建筑电气工程施工质量验收规范》</w:t>
      </w:r>
      <w:r>
        <w:rPr>
          <w:color w:val="000000"/>
          <w:sz w:val="24"/>
          <w:szCs w:val="24"/>
        </w:rPr>
        <w:t>（验收主控依据，含大量强制性条文）</w:t>
      </w:r>
    </w:p>
    <w:p w14:paraId="38A2ACB1">
      <w:pPr>
        <w:keepNext w:val="0"/>
        <w:keepLines w:val="0"/>
        <w:widowControl/>
        <w:numPr>
          <w:ilvl w:val="0"/>
          <w:numId w:val="7"/>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4"/>
          <w:szCs w:val="24"/>
        </w:rPr>
      </w:pPr>
      <w:r>
        <w:rPr>
          <w:rStyle w:val="20"/>
          <w:color w:val="000000"/>
          <w:sz w:val="24"/>
          <w:szCs w:val="24"/>
        </w:rPr>
        <w:t>GB 51348-2019《民用建筑电气设计标准》</w:t>
      </w:r>
      <w:r>
        <w:rPr>
          <w:color w:val="000000"/>
          <w:sz w:val="24"/>
          <w:szCs w:val="24"/>
        </w:rPr>
        <w:t>（设计布线总规范）</w:t>
      </w:r>
    </w:p>
    <w:p w14:paraId="607D1EF9">
      <w:pPr>
        <w:keepNext w:val="0"/>
        <w:keepLines w:val="0"/>
        <w:widowControl/>
        <w:numPr>
          <w:ilvl w:val="0"/>
          <w:numId w:val="7"/>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4"/>
          <w:szCs w:val="24"/>
        </w:rPr>
      </w:pPr>
      <w:r>
        <w:rPr>
          <w:rStyle w:val="20"/>
          <w:color w:val="000000"/>
          <w:sz w:val="24"/>
          <w:szCs w:val="24"/>
        </w:rPr>
        <w:t>GB 50054-2011《低压配电设计规范》</w:t>
      </w:r>
      <w:r>
        <w:rPr>
          <w:color w:val="000000"/>
          <w:sz w:val="24"/>
          <w:szCs w:val="24"/>
        </w:rPr>
        <w:t>（低压配线、保护、间距）</w:t>
      </w:r>
    </w:p>
    <w:p w14:paraId="28B124D1">
      <w:pPr>
        <w:keepNext w:val="0"/>
        <w:keepLines w:val="0"/>
        <w:widowControl/>
        <w:numPr>
          <w:ilvl w:val="0"/>
          <w:numId w:val="7"/>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4"/>
          <w:szCs w:val="24"/>
        </w:rPr>
      </w:pPr>
      <w:r>
        <w:rPr>
          <w:rStyle w:val="20"/>
          <w:color w:val="000000"/>
          <w:sz w:val="24"/>
          <w:szCs w:val="24"/>
        </w:rPr>
        <w:t>GB 50168-2018《电缆线路施工及验收规范》</w:t>
      </w:r>
      <w:r>
        <w:rPr>
          <w:color w:val="000000"/>
          <w:sz w:val="24"/>
          <w:szCs w:val="24"/>
        </w:rPr>
        <w:t>（电缆敷设专项）</w:t>
      </w:r>
    </w:p>
    <w:p w14:paraId="5FE05994">
      <w:pPr>
        <w:keepNext w:val="0"/>
        <w:keepLines w:val="0"/>
        <w:widowControl/>
        <w:numPr>
          <w:ilvl w:val="0"/>
          <w:numId w:val="7"/>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4"/>
          <w:szCs w:val="24"/>
        </w:rPr>
      </w:pPr>
      <w:r>
        <w:rPr>
          <w:rStyle w:val="20"/>
          <w:color w:val="000000"/>
          <w:sz w:val="24"/>
          <w:szCs w:val="24"/>
        </w:rPr>
        <w:t>GB 55024-2022《建筑电气与智能化通用规范》</w:t>
      </w:r>
      <w:r>
        <w:rPr>
          <w:color w:val="000000"/>
          <w:sz w:val="24"/>
          <w:szCs w:val="24"/>
        </w:rPr>
        <w:t>（强弱电分离强条）</w:t>
      </w:r>
    </w:p>
    <w:p w14:paraId="0650A9E0">
      <w:pPr>
        <w:keepNext w:val="0"/>
        <w:keepLines w:val="0"/>
        <w:widowControl/>
        <w:numPr>
          <w:ilvl w:val="0"/>
          <w:numId w:val="7"/>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4"/>
          <w:szCs w:val="24"/>
        </w:rPr>
      </w:pPr>
      <w:r>
        <w:rPr>
          <w:rStyle w:val="20"/>
          <w:color w:val="000000"/>
          <w:sz w:val="24"/>
          <w:szCs w:val="24"/>
        </w:rPr>
        <w:t>GB 50016-2014（2018 版）《建筑设计防火规范》</w:t>
      </w:r>
      <w:r>
        <w:rPr>
          <w:color w:val="000000"/>
          <w:sz w:val="24"/>
          <w:szCs w:val="24"/>
        </w:rPr>
        <w:t>（消防线路专用敷设要求）</w:t>
      </w:r>
    </w:p>
    <w:p w14:paraId="3D4CC29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r>
        <w:rPr>
          <w:color w:val="000000"/>
          <w:sz w:val="24"/>
          <w:szCs w:val="24"/>
        </w:rPr>
        <w:t>二、通用强制基本原则（必守）</w:t>
      </w:r>
    </w:p>
    <w:p w14:paraId="31FDC7B6">
      <w:pPr>
        <w:keepNext w:val="0"/>
        <w:keepLines w:val="0"/>
        <w:widowControl/>
        <w:numPr>
          <w:ilvl w:val="0"/>
          <w:numId w:val="8"/>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4"/>
          <w:szCs w:val="24"/>
        </w:rPr>
      </w:pPr>
      <w:r>
        <w:rPr>
          <w:rStyle w:val="20"/>
          <w:color w:val="000000"/>
          <w:sz w:val="24"/>
          <w:szCs w:val="24"/>
        </w:rPr>
        <w:t>管内严禁接线</w:t>
      </w:r>
      <w:r>
        <w:rPr>
          <w:color w:val="000000"/>
          <w:sz w:val="24"/>
          <w:szCs w:val="24"/>
        </w:rPr>
        <w:t>：导线接头必须设在接线盒、箱内，线管中途不得有接头</w:t>
      </w:r>
    </w:p>
    <w:p w14:paraId="4DF05E64">
      <w:pPr>
        <w:keepNext w:val="0"/>
        <w:keepLines w:val="0"/>
        <w:widowControl/>
        <w:numPr>
          <w:ilvl w:val="0"/>
          <w:numId w:val="8"/>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4"/>
          <w:szCs w:val="24"/>
        </w:rPr>
      </w:pPr>
      <w:r>
        <w:rPr>
          <w:rStyle w:val="20"/>
          <w:color w:val="000000"/>
          <w:sz w:val="24"/>
          <w:szCs w:val="24"/>
        </w:rPr>
        <w:t>同回路共管</w:t>
      </w:r>
      <w:r>
        <w:rPr>
          <w:color w:val="000000"/>
          <w:sz w:val="24"/>
          <w:szCs w:val="24"/>
        </w:rPr>
        <w:t>：同一交流回路相线、N、PE 必须穿同一根线管；</w:t>
      </w:r>
      <w:r>
        <w:rPr>
          <w:rStyle w:val="20"/>
          <w:color w:val="000000"/>
          <w:sz w:val="24"/>
          <w:szCs w:val="24"/>
        </w:rPr>
        <w:t>严禁单根交流相线单独穿钢管</w:t>
      </w:r>
      <w:r>
        <w:rPr>
          <w:color w:val="000000"/>
          <w:sz w:val="24"/>
          <w:szCs w:val="24"/>
        </w:rPr>
        <w:t>（避免涡流发热）</w:t>
      </w:r>
    </w:p>
    <w:p w14:paraId="7D2953DD">
      <w:pPr>
        <w:keepNext w:val="0"/>
        <w:keepLines w:val="0"/>
        <w:widowControl/>
        <w:numPr>
          <w:ilvl w:val="0"/>
          <w:numId w:val="8"/>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4"/>
          <w:szCs w:val="24"/>
        </w:rPr>
      </w:pPr>
      <w:r>
        <w:rPr>
          <w:rStyle w:val="20"/>
          <w:color w:val="000000"/>
          <w:sz w:val="24"/>
          <w:szCs w:val="24"/>
        </w:rPr>
        <w:t>线管填充率</w:t>
      </w:r>
      <w:r>
        <w:rPr>
          <w:color w:val="000000"/>
          <w:sz w:val="24"/>
          <w:szCs w:val="24"/>
        </w:rPr>
        <w:t>：电线总截面积≤线管内孔截面积</w:t>
      </w:r>
      <w:r>
        <w:rPr>
          <w:rStyle w:val="20"/>
          <w:color w:val="000000"/>
          <w:sz w:val="24"/>
          <w:szCs w:val="24"/>
        </w:rPr>
        <w:t>40%</w:t>
      </w:r>
      <w:r>
        <w:rPr>
          <w:color w:val="000000"/>
          <w:sz w:val="24"/>
          <w:szCs w:val="24"/>
        </w:rPr>
        <w:t>；桥架控制线≤50%</w:t>
      </w:r>
    </w:p>
    <w:p w14:paraId="2F672DBB">
      <w:pPr>
        <w:keepNext w:val="0"/>
        <w:keepLines w:val="0"/>
        <w:widowControl/>
        <w:numPr>
          <w:ilvl w:val="0"/>
          <w:numId w:val="8"/>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4"/>
          <w:szCs w:val="24"/>
        </w:rPr>
      </w:pPr>
      <w:r>
        <w:rPr>
          <w:rStyle w:val="20"/>
          <w:color w:val="000000"/>
          <w:sz w:val="24"/>
          <w:szCs w:val="24"/>
        </w:rPr>
        <w:t>线色规范</w:t>
      </w:r>
      <w:r>
        <w:rPr>
          <w:color w:val="000000"/>
          <w:sz w:val="24"/>
          <w:szCs w:val="24"/>
        </w:rPr>
        <w:t xml:space="preserve"> </w:t>
      </w:r>
    </w:p>
    <w:p w14:paraId="1024AB95">
      <w:pPr>
        <w:keepNext w:val="0"/>
        <w:keepLines w:val="0"/>
        <w:widowControl/>
        <w:numPr>
          <w:ilvl w:val="1"/>
          <w:numId w:val="7"/>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4"/>
          <w:szCs w:val="24"/>
        </w:rPr>
      </w:pPr>
      <w:r>
        <w:rPr>
          <w:color w:val="000000"/>
          <w:sz w:val="24"/>
          <w:szCs w:val="24"/>
        </w:rPr>
        <w:t>A 黄、B 绿、C 红；N 中性线淡蓝色；PE 保护地线</w:t>
      </w:r>
      <w:r>
        <w:rPr>
          <w:rStyle w:val="20"/>
          <w:color w:val="000000"/>
          <w:sz w:val="24"/>
          <w:szCs w:val="24"/>
        </w:rPr>
        <w:t>黄绿双色专用</w:t>
      </w:r>
    </w:p>
    <w:p w14:paraId="447026E6">
      <w:pPr>
        <w:keepNext w:val="0"/>
        <w:keepLines w:val="0"/>
        <w:widowControl/>
        <w:numPr>
          <w:ilvl w:val="0"/>
          <w:numId w:val="8"/>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4"/>
          <w:szCs w:val="24"/>
        </w:rPr>
      </w:pPr>
      <w:r>
        <w:rPr>
          <w:rStyle w:val="20"/>
          <w:color w:val="000000"/>
          <w:sz w:val="24"/>
          <w:szCs w:val="24"/>
        </w:rPr>
        <w:t>强弱电严禁共管 / 共槽</w:t>
      </w:r>
      <w:r>
        <w:rPr>
          <w:color w:val="000000"/>
          <w:sz w:val="24"/>
          <w:szCs w:val="24"/>
        </w:rPr>
        <w:t>：电力电缆与网线、监控、门禁等弱电不得同管、同桥架不分隔敷设</w:t>
      </w:r>
    </w:p>
    <w:p w14:paraId="434A3BA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r>
        <w:rPr>
          <w:color w:val="000000"/>
          <w:sz w:val="24"/>
          <w:szCs w:val="24"/>
        </w:rPr>
        <w:t>三、穿线管敷设规范（PVC / 镀锌钢管）</w:t>
      </w:r>
    </w:p>
    <w:p w14:paraId="49AD4657">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r>
        <w:rPr>
          <w:color w:val="000000"/>
          <w:sz w:val="24"/>
          <w:szCs w:val="24"/>
        </w:rPr>
        <w:t>1. 弯曲半径</w:t>
      </w:r>
    </w:p>
    <w:p w14:paraId="5E5DA39B">
      <w:pPr>
        <w:keepNext w:val="0"/>
        <w:keepLines w:val="0"/>
        <w:widowControl/>
        <w:numPr>
          <w:ilvl w:val="0"/>
          <w:numId w:val="9"/>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4"/>
          <w:szCs w:val="24"/>
        </w:rPr>
      </w:pPr>
      <w:r>
        <w:rPr>
          <w:color w:val="000000"/>
          <w:sz w:val="24"/>
          <w:szCs w:val="24"/>
        </w:rPr>
        <w:t>明配钢管：≥</w:t>
      </w:r>
      <w:r>
        <w:rPr>
          <w:rStyle w:val="20"/>
          <w:color w:val="000000"/>
          <w:sz w:val="24"/>
          <w:szCs w:val="24"/>
        </w:rPr>
        <w:t>6 倍管外径</w:t>
      </w:r>
      <w:r>
        <w:rPr>
          <w:color w:val="000000"/>
          <w:sz w:val="24"/>
          <w:szCs w:val="24"/>
        </w:rPr>
        <w:t>；单弯可≥4 倍</w:t>
      </w:r>
    </w:p>
    <w:p w14:paraId="60AF1ECD">
      <w:pPr>
        <w:keepNext w:val="0"/>
        <w:keepLines w:val="0"/>
        <w:widowControl/>
        <w:numPr>
          <w:ilvl w:val="0"/>
          <w:numId w:val="9"/>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4"/>
          <w:szCs w:val="24"/>
        </w:rPr>
      </w:pPr>
      <w:r>
        <w:rPr>
          <w:color w:val="000000"/>
          <w:sz w:val="24"/>
          <w:szCs w:val="24"/>
        </w:rPr>
        <w:t>暗埋混凝土 / 地面：≥</w:t>
      </w:r>
      <w:r>
        <w:rPr>
          <w:rStyle w:val="20"/>
          <w:color w:val="000000"/>
          <w:sz w:val="24"/>
          <w:szCs w:val="24"/>
        </w:rPr>
        <w:t>10 倍管外径</w:t>
      </w:r>
    </w:p>
    <w:p w14:paraId="3CB0B6B8">
      <w:pPr>
        <w:keepNext w:val="0"/>
        <w:keepLines w:val="0"/>
        <w:widowControl/>
        <w:numPr>
          <w:ilvl w:val="0"/>
          <w:numId w:val="9"/>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4"/>
          <w:szCs w:val="24"/>
        </w:rPr>
      </w:pPr>
      <w:r>
        <w:rPr>
          <w:color w:val="000000"/>
          <w:sz w:val="24"/>
          <w:szCs w:val="24"/>
        </w:rPr>
        <w:t>PVC 线管暗敷统一≥10 倍管径，弯后不得扁瘪、开裂、折皱</w:t>
      </w:r>
    </w:p>
    <w:p w14:paraId="5AD09E83">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r>
        <w:rPr>
          <w:color w:val="000000"/>
          <w:sz w:val="24"/>
          <w:szCs w:val="24"/>
        </w:rPr>
        <w:t>2. 拉线盒设置（超距必须加盒）</w:t>
      </w:r>
    </w:p>
    <w:p w14:paraId="5715D3E7">
      <w:pPr>
        <w:keepNext w:val="0"/>
        <w:keepLines w:val="0"/>
        <w:widowControl/>
        <w:numPr>
          <w:ilvl w:val="0"/>
          <w:numId w:val="1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4"/>
          <w:szCs w:val="24"/>
        </w:rPr>
      </w:pPr>
      <w:r>
        <w:rPr>
          <w:color w:val="000000"/>
          <w:sz w:val="24"/>
          <w:szCs w:val="24"/>
        </w:rPr>
        <w:t>直线无弯头：≥30m 设盒</w:t>
      </w:r>
    </w:p>
    <w:p w14:paraId="1D29D3AC">
      <w:pPr>
        <w:keepNext w:val="0"/>
        <w:keepLines w:val="0"/>
        <w:widowControl/>
        <w:numPr>
          <w:ilvl w:val="0"/>
          <w:numId w:val="1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4"/>
          <w:szCs w:val="24"/>
        </w:rPr>
      </w:pPr>
      <w:r>
        <w:rPr>
          <w:color w:val="000000"/>
          <w:sz w:val="24"/>
          <w:szCs w:val="24"/>
        </w:rPr>
        <w:t>1 个弯头：≥20m 设盒</w:t>
      </w:r>
    </w:p>
    <w:p w14:paraId="4E2F2841">
      <w:pPr>
        <w:keepNext w:val="0"/>
        <w:keepLines w:val="0"/>
        <w:widowControl/>
        <w:numPr>
          <w:ilvl w:val="0"/>
          <w:numId w:val="1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4"/>
          <w:szCs w:val="24"/>
        </w:rPr>
      </w:pPr>
      <w:r>
        <w:rPr>
          <w:color w:val="000000"/>
          <w:sz w:val="24"/>
          <w:szCs w:val="24"/>
        </w:rPr>
        <w:t>2 个弯头：≥12m 设盒</w:t>
      </w:r>
    </w:p>
    <w:p w14:paraId="60E66488">
      <w:pPr>
        <w:keepNext w:val="0"/>
        <w:keepLines w:val="0"/>
        <w:widowControl/>
        <w:numPr>
          <w:ilvl w:val="0"/>
          <w:numId w:val="1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4"/>
          <w:szCs w:val="24"/>
        </w:rPr>
      </w:pPr>
      <w:r>
        <w:rPr>
          <w:color w:val="000000"/>
          <w:sz w:val="24"/>
          <w:szCs w:val="24"/>
        </w:rPr>
        <w:t>3 个弯头：≥8m 设盒</w:t>
      </w:r>
    </w:p>
    <w:p w14:paraId="53E2EBDE">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r>
        <w:rPr>
          <w:color w:val="000000"/>
          <w:sz w:val="24"/>
          <w:szCs w:val="24"/>
        </w:rPr>
        <w:t>3. 钢管连接强制要求（强条）</w:t>
      </w:r>
    </w:p>
    <w:p w14:paraId="3F22609A">
      <w:pPr>
        <w:keepNext w:val="0"/>
        <w:keepLines w:val="0"/>
        <w:widowControl/>
        <w:numPr>
          <w:ilvl w:val="0"/>
          <w:numId w:val="11"/>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4"/>
          <w:szCs w:val="24"/>
        </w:rPr>
      </w:pPr>
      <w:r>
        <w:rPr>
          <w:color w:val="000000"/>
          <w:sz w:val="24"/>
          <w:szCs w:val="24"/>
        </w:rPr>
        <w:t>镀锌钢管、壁厚≤2mm 钢管</w:t>
      </w:r>
      <w:r>
        <w:rPr>
          <w:rStyle w:val="20"/>
          <w:color w:val="000000"/>
          <w:sz w:val="24"/>
          <w:szCs w:val="24"/>
        </w:rPr>
        <w:t>禁止对口熔焊、套管熔焊</w:t>
      </w:r>
      <w:r>
        <w:rPr>
          <w:color w:val="000000"/>
          <w:sz w:val="24"/>
          <w:szCs w:val="24"/>
        </w:rPr>
        <w:t>，必须丝扣连接 + 专用接地卡跨接</w:t>
      </w:r>
    </w:p>
    <w:p w14:paraId="719D99AA">
      <w:pPr>
        <w:keepNext w:val="0"/>
        <w:keepLines w:val="0"/>
        <w:widowControl/>
        <w:numPr>
          <w:ilvl w:val="0"/>
          <w:numId w:val="11"/>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4"/>
          <w:szCs w:val="24"/>
        </w:rPr>
      </w:pPr>
      <w:r>
        <w:rPr>
          <w:color w:val="000000"/>
          <w:sz w:val="24"/>
          <w:szCs w:val="24"/>
        </w:rPr>
        <w:t>黑钢管厚壁管可套管焊接，焊口饱满做防腐</w:t>
      </w:r>
    </w:p>
    <w:p w14:paraId="3AEF645D">
      <w:pPr>
        <w:keepNext w:val="0"/>
        <w:keepLines w:val="0"/>
        <w:widowControl/>
        <w:numPr>
          <w:ilvl w:val="0"/>
          <w:numId w:val="11"/>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4"/>
          <w:szCs w:val="24"/>
        </w:rPr>
      </w:pPr>
      <w:r>
        <w:rPr>
          <w:color w:val="000000"/>
          <w:sz w:val="24"/>
          <w:szCs w:val="24"/>
        </w:rPr>
        <w:t>金属管全程连通接地，不得串联接地，每盒可靠跨接 PE</w:t>
      </w:r>
    </w:p>
    <w:p w14:paraId="18ACC833">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r>
        <w:rPr>
          <w:color w:val="000000"/>
          <w:sz w:val="24"/>
          <w:szCs w:val="24"/>
        </w:rPr>
        <w:t>4. 暗敷保护层（消防重点）</w:t>
      </w:r>
    </w:p>
    <w:p w14:paraId="7DB133AC">
      <w:pPr>
        <w:keepNext w:val="0"/>
        <w:keepLines w:val="0"/>
        <w:widowControl/>
        <w:numPr>
          <w:ilvl w:val="0"/>
          <w:numId w:val="12"/>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4"/>
          <w:szCs w:val="24"/>
        </w:rPr>
      </w:pPr>
      <w:r>
        <w:rPr>
          <w:color w:val="000000"/>
          <w:sz w:val="24"/>
          <w:szCs w:val="24"/>
        </w:rPr>
        <w:t>普通线路暗敷墙体 / 楼板：线管外砂浆保护层≥15mm</w:t>
      </w:r>
    </w:p>
    <w:p w14:paraId="0A16011C">
      <w:pPr>
        <w:keepNext w:val="0"/>
        <w:keepLines w:val="0"/>
        <w:widowControl/>
        <w:numPr>
          <w:ilvl w:val="0"/>
          <w:numId w:val="12"/>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4"/>
          <w:szCs w:val="24"/>
        </w:rPr>
      </w:pPr>
      <w:r>
        <w:rPr>
          <w:rStyle w:val="20"/>
          <w:color w:val="000000"/>
          <w:sz w:val="24"/>
          <w:szCs w:val="24"/>
        </w:rPr>
        <w:t>消防线路暗敷</w:t>
      </w:r>
      <w:r>
        <w:rPr>
          <w:color w:val="000000"/>
          <w:sz w:val="24"/>
          <w:szCs w:val="24"/>
        </w:rPr>
        <w:t>：必须敷设在不燃结构内，保护层≥</w:t>
      </w:r>
      <w:r>
        <w:rPr>
          <w:rStyle w:val="20"/>
          <w:color w:val="000000"/>
          <w:sz w:val="24"/>
          <w:szCs w:val="24"/>
        </w:rPr>
        <w:t>30mm</w:t>
      </w:r>
    </w:p>
    <w:p w14:paraId="2A104B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r>
        <w:rPr>
          <w:color w:val="000000"/>
          <w:sz w:val="24"/>
          <w:szCs w:val="24"/>
        </w:rPr>
        <w:t>四、强弱电间距规范（防干扰）</w:t>
      </w:r>
    </w:p>
    <w:p w14:paraId="3726C94A">
      <w:pPr>
        <w:keepNext w:val="0"/>
        <w:keepLines w:val="0"/>
        <w:widowControl/>
        <w:numPr>
          <w:ilvl w:val="0"/>
          <w:numId w:val="13"/>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4"/>
          <w:szCs w:val="24"/>
        </w:rPr>
      </w:pPr>
      <w:r>
        <w:rPr>
          <w:rStyle w:val="20"/>
          <w:color w:val="000000"/>
          <w:sz w:val="24"/>
          <w:szCs w:val="24"/>
        </w:rPr>
        <w:t>平行敷设</w:t>
      </w:r>
      <w:r>
        <w:rPr>
          <w:color w:val="000000"/>
          <w:sz w:val="24"/>
          <w:szCs w:val="24"/>
        </w:rPr>
        <w:t xml:space="preserve"> </w:t>
      </w:r>
    </w:p>
    <w:p w14:paraId="25CB6517">
      <w:pPr>
        <w:keepNext w:val="0"/>
        <w:keepLines w:val="0"/>
        <w:widowControl/>
        <w:numPr>
          <w:ilvl w:val="1"/>
          <w:numId w:val="14"/>
        </w:numPr>
        <w:suppressLineNumbers w:val="0"/>
        <w:pBdr>
          <w:top w:val="none" w:color="auto" w:sz="0" w:space="0"/>
          <w:left w:val="none" w:color="auto" w:sz="0" w:space="0"/>
          <w:bottom w:val="none" w:color="auto" w:sz="0" w:space="0"/>
          <w:right w:val="none" w:color="auto" w:sz="0" w:space="0"/>
        </w:pBdr>
        <w:tabs>
          <w:tab w:val="left" w:pos="1440"/>
        </w:tabs>
        <w:spacing w:before="0" w:beforeAutospacing="0" w:after="0" w:afterAutospacing="0" w:line="360" w:lineRule="atLeast"/>
        <w:ind w:left="0" w:right="0" w:hanging="360"/>
        <w:jc w:val="left"/>
        <w:rPr>
          <w:color w:val="000000"/>
          <w:sz w:val="24"/>
          <w:szCs w:val="24"/>
        </w:rPr>
      </w:pPr>
      <w:r>
        <w:rPr>
          <w:color w:val="000000"/>
          <w:sz w:val="24"/>
          <w:szCs w:val="24"/>
        </w:rPr>
        <w:t>双方均金属管屏蔽：最小净距≥10mm</w:t>
      </w:r>
    </w:p>
    <w:p w14:paraId="34F4C036">
      <w:pPr>
        <w:keepNext w:val="0"/>
        <w:keepLines w:val="0"/>
        <w:widowControl/>
        <w:numPr>
          <w:ilvl w:val="1"/>
          <w:numId w:val="14"/>
        </w:numPr>
        <w:suppressLineNumbers w:val="0"/>
        <w:pBdr>
          <w:top w:val="none" w:color="auto" w:sz="0" w:space="0"/>
          <w:left w:val="none" w:color="auto" w:sz="0" w:space="0"/>
          <w:bottom w:val="none" w:color="auto" w:sz="0" w:space="0"/>
          <w:right w:val="none" w:color="auto" w:sz="0" w:space="0"/>
        </w:pBdr>
        <w:tabs>
          <w:tab w:val="left" w:pos="1440"/>
        </w:tabs>
        <w:spacing w:before="0" w:beforeAutospacing="0" w:after="0" w:afterAutospacing="0" w:line="360" w:lineRule="atLeast"/>
        <w:ind w:left="0" w:right="0" w:hanging="360"/>
        <w:jc w:val="left"/>
        <w:rPr>
          <w:color w:val="000000"/>
          <w:sz w:val="24"/>
          <w:szCs w:val="24"/>
        </w:rPr>
      </w:pPr>
      <w:r>
        <w:rPr>
          <w:color w:val="000000"/>
          <w:sz w:val="24"/>
          <w:szCs w:val="24"/>
        </w:rPr>
        <w:t>一方金属管、一方 PVC 管：≥70mm</w:t>
      </w:r>
    </w:p>
    <w:p w14:paraId="3A917BF3">
      <w:pPr>
        <w:keepNext w:val="0"/>
        <w:keepLines w:val="0"/>
        <w:widowControl/>
        <w:numPr>
          <w:ilvl w:val="1"/>
          <w:numId w:val="14"/>
        </w:numPr>
        <w:suppressLineNumbers w:val="0"/>
        <w:pBdr>
          <w:top w:val="none" w:color="auto" w:sz="0" w:space="0"/>
          <w:left w:val="none" w:color="auto" w:sz="0" w:space="0"/>
          <w:bottom w:val="none" w:color="auto" w:sz="0" w:space="0"/>
          <w:right w:val="none" w:color="auto" w:sz="0" w:space="0"/>
        </w:pBdr>
        <w:tabs>
          <w:tab w:val="left" w:pos="1440"/>
        </w:tabs>
        <w:spacing w:before="0" w:beforeAutospacing="0" w:after="0" w:afterAutospacing="0" w:line="360" w:lineRule="atLeast"/>
        <w:ind w:left="0" w:right="0" w:hanging="360"/>
        <w:jc w:val="left"/>
        <w:rPr>
          <w:color w:val="000000"/>
          <w:sz w:val="24"/>
          <w:szCs w:val="24"/>
        </w:rPr>
      </w:pPr>
      <w:r>
        <w:rPr>
          <w:color w:val="000000"/>
          <w:sz w:val="24"/>
          <w:szCs w:val="24"/>
        </w:rPr>
        <w:t>双方均 PVC 裸管：≥</w:t>
      </w:r>
      <w:r>
        <w:rPr>
          <w:rStyle w:val="20"/>
          <w:color w:val="000000"/>
          <w:sz w:val="24"/>
          <w:szCs w:val="24"/>
        </w:rPr>
        <w:t>130mm</w:t>
      </w:r>
      <w:r>
        <w:rPr>
          <w:color w:val="000000"/>
          <w:sz w:val="24"/>
          <w:szCs w:val="24"/>
        </w:rPr>
        <w:t>；工程常规管控≥300mm 更稳妥</w:t>
      </w:r>
    </w:p>
    <w:p w14:paraId="0A2D9868">
      <w:pPr>
        <w:keepNext w:val="0"/>
        <w:keepLines w:val="0"/>
        <w:widowControl/>
        <w:numPr>
          <w:ilvl w:val="0"/>
          <w:numId w:val="13"/>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4"/>
          <w:szCs w:val="24"/>
        </w:rPr>
      </w:pPr>
      <w:r>
        <w:rPr>
          <w:rStyle w:val="20"/>
          <w:color w:val="000000"/>
          <w:sz w:val="24"/>
          <w:szCs w:val="24"/>
        </w:rPr>
        <w:t>交叉敷设</w:t>
      </w:r>
      <w:r>
        <w:rPr>
          <w:color w:val="000000"/>
          <w:sz w:val="24"/>
          <w:szCs w:val="24"/>
        </w:rPr>
        <w:t>：必须垂直交叉，交叉处净距≥300mm，宜用金属隔板隔离，禁止紧贴交叉</w:t>
      </w:r>
    </w:p>
    <w:p w14:paraId="57B97336">
      <w:pPr>
        <w:keepNext w:val="0"/>
        <w:keepLines w:val="0"/>
        <w:widowControl/>
        <w:numPr>
          <w:ilvl w:val="0"/>
          <w:numId w:val="13"/>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4"/>
          <w:szCs w:val="24"/>
        </w:rPr>
      </w:pPr>
      <w:r>
        <w:rPr>
          <w:color w:val="000000"/>
          <w:sz w:val="24"/>
          <w:szCs w:val="24"/>
        </w:rPr>
        <w:t>桥架分层敷设：强弱电桥架分层隔板隔离，层间间距≥300mm</w:t>
      </w:r>
    </w:p>
    <w:p w14:paraId="55769A7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r>
        <w:rPr>
          <w:color w:val="000000"/>
          <w:sz w:val="24"/>
          <w:szCs w:val="24"/>
        </w:rPr>
        <w:t>五、电缆桥架敷设规范</w:t>
      </w:r>
    </w:p>
    <w:p w14:paraId="66C2F67E">
      <w:pPr>
        <w:keepNext w:val="0"/>
        <w:keepLines w:val="0"/>
        <w:widowControl/>
        <w:numPr>
          <w:ilvl w:val="0"/>
          <w:numId w:val="15"/>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4"/>
          <w:szCs w:val="24"/>
        </w:rPr>
      </w:pPr>
      <w:r>
        <w:rPr>
          <w:color w:val="000000"/>
          <w:sz w:val="24"/>
          <w:szCs w:val="24"/>
        </w:rPr>
        <w:t>不同电压、电力 / 弱电、普通配电 / 消防配电</w:t>
      </w:r>
      <w:r>
        <w:rPr>
          <w:rStyle w:val="20"/>
          <w:color w:val="000000"/>
          <w:sz w:val="24"/>
          <w:szCs w:val="24"/>
        </w:rPr>
        <w:t>不能同层混放</w:t>
      </w:r>
      <w:r>
        <w:rPr>
          <w:color w:val="000000"/>
          <w:sz w:val="24"/>
          <w:szCs w:val="24"/>
        </w:rPr>
        <w:t>，必须隔板分隔或分桥架</w:t>
      </w:r>
    </w:p>
    <w:p w14:paraId="6B7FA679">
      <w:pPr>
        <w:keepNext w:val="0"/>
        <w:keepLines w:val="0"/>
        <w:widowControl/>
        <w:numPr>
          <w:ilvl w:val="0"/>
          <w:numId w:val="15"/>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4"/>
          <w:szCs w:val="24"/>
        </w:rPr>
      </w:pPr>
      <w:r>
        <w:rPr>
          <w:color w:val="000000"/>
          <w:sz w:val="24"/>
          <w:szCs w:val="24"/>
        </w:rPr>
        <w:t>金属桥架</w:t>
      </w:r>
      <w:r>
        <w:rPr>
          <w:rStyle w:val="20"/>
          <w:color w:val="000000"/>
          <w:sz w:val="24"/>
          <w:szCs w:val="24"/>
        </w:rPr>
        <w:t>全长不少于 2 处可靠接地</w:t>
      </w:r>
      <w:r>
        <w:rPr>
          <w:color w:val="000000"/>
          <w:sz w:val="24"/>
          <w:szCs w:val="24"/>
        </w:rPr>
        <w:t>，支架热镀锌防腐</w:t>
      </w:r>
    </w:p>
    <w:p w14:paraId="3AC44D33">
      <w:pPr>
        <w:keepNext w:val="0"/>
        <w:keepLines w:val="0"/>
        <w:widowControl/>
        <w:numPr>
          <w:ilvl w:val="0"/>
          <w:numId w:val="15"/>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4"/>
          <w:szCs w:val="24"/>
        </w:rPr>
      </w:pPr>
      <w:r>
        <w:rPr>
          <w:color w:val="000000"/>
          <w:sz w:val="24"/>
          <w:szCs w:val="24"/>
        </w:rPr>
        <w:t>钢制桥架直线段超 30m、铝合金 / 玻璃钢桥架超 15m 设伸缩节；过沉降缝、变形缝加装补偿装置</w:t>
      </w:r>
    </w:p>
    <w:p w14:paraId="2B0CFFDE">
      <w:pPr>
        <w:keepNext w:val="0"/>
        <w:keepLines w:val="0"/>
        <w:widowControl/>
        <w:numPr>
          <w:ilvl w:val="0"/>
          <w:numId w:val="15"/>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4"/>
          <w:szCs w:val="24"/>
        </w:rPr>
      </w:pPr>
      <w:r>
        <w:rPr>
          <w:color w:val="000000"/>
          <w:sz w:val="24"/>
          <w:szCs w:val="24"/>
        </w:rPr>
        <w:t>桥架避开热力管道正上方、液体管道正下方，平行热力管净距≥0.5m</w:t>
      </w:r>
    </w:p>
    <w:p w14:paraId="395B5A6E">
      <w:pPr>
        <w:keepNext w:val="0"/>
        <w:keepLines w:val="0"/>
        <w:widowControl/>
        <w:numPr>
          <w:ilvl w:val="0"/>
          <w:numId w:val="15"/>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4"/>
          <w:szCs w:val="24"/>
        </w:rPr>
      </w:pPr>
      <w:r>
        <w:rPr>
          <w:color w:val="000000"/>
          <w:sz w:val="24"/>
          <w:szCs w:val="24"/>
        </w:rPr>
        <w:t>电缆排列整齐、绑扎固定，转弯弯曲半径满足电缆允许弯曲要求</w:t>
      </w:r>
    </w:p>
    <w:p w14:paraId="660D933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r>
        <w:rPr>
          <w:color w:val="000000"/>
          <w:sz w:val="24"/>
          <w:szCs w:val="24"/>
        </w:rPr>
        <w:t>六、消防配电线路专项敷设（防火强条）</w:t>
      </w:r>
    </w:p>
    <w:p w14:paraId="7F874F98">
      <w:pPr>
        <w:keepNext w:val="0"/>
        <w:keepLines w:val="0"/>
        <w:widowControl/>
        <w:numPr>
          <w:ilvl w:val="0"/>
          <w:numId w:val="16"/>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4"/>
          <w:szCs w:val="24"/>
        </w:rPr>
      </w:pPr>
      <w:r>
        <w:rPr>
          <w:rStyle w:val="20"/>
          <w:color w:val="000000"/>
          <w:sz w:val="24"/>
          <w:szCs w:val="24"/>
        </w:rPr>
        <w:t>明敷（吊顶、墙面外露）</w:t>
      </w:r>
      <w:r>
        <w:rPr>
          <w:color w:val="000000"/>
          <w:sz w:val="24"/>
          <w:szCs w:val="24"/>
        </w:rPr>
        <w:t>：必须穿金属管 / 封闭式金属槽盒，外涂防火涂料</w:t>
      </w:r>
    </w:p>
    <w:p w14:paraId="7EC530E3">
      <w:pPr>
        <w:keepNext w:val="0"/>
        <w:keepLines w:val="0"/>
        <w:widowControl/>
        <w:numPr>
          <w:ilvl w:val="0"/>
          <w:numId w:val="16"/>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4"/>
          <w:szCs w:val="24"/>
        </w:rPr>
      </w:pPr>
      <w:r>
        <w:rPr>
          <w:rStyle w:val="20"/>
          <w:color w:val="000000"/>
          <w:sz w:val="24"/>
          <w:szCs w:val="24"/>
        </w:rPr>
        <w:t>暗敷</w:t>
      </w:r>
      <w:r>
        <w:rPr>
          <w:color w:val="000000"/>
          <w:sz w:val="24"/>
          <w:szCs w:val="24"/>
        </w:rPr>
        <w:t>：穿管埋不燃结构，保护层≥30mm</w:t>
      </w:r>
    </w:p>
    <w:p w14:paraId="67D0318C">
      <w:pPr>
        <w:keepNext w:val="0"/>
        <w:keepLines w:val="0"/>
        <w:widowControl/>
        <w:numPr>
          <w:ilvl w:val="0"/>
          <w:numId w:val="16"/>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4"/>
          <w:szCs w:val="24"/>
        </w:rPr>
      </w:pPr>
      <w:r>
        <w:rPr>
          <w:color w:val="000000"/>
          <w:sz w:val="24"/>
          <w:szCs w:val="24"/>
        </w:rPr>
        <w:t>消防电缆宜独立竖井；同竖井必须分两侧布置，优先矿物绝缘电缆可直接明敷</w:t>
      </w:r>
    </w:p>
    <w:p w14:paraId="14BAA483">
      <w:pPr>
        <w:keepNext w:val="0"/>
        <w:keepLines w:val="0"/>
        <w:widowControl/>
        <w:numPr>
          <w:ilvl w:val="0"/>
          <w:numId w:val="16"/>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4"/>
          <w:szCs w:val="24"/>
        </w:rPr>
      </w:pPr>
      <w:r>
        <w:rPr>
          <w:color w:val="000000"/>
          <w:sz w:val="24"/>
          <w:szCs w:val="24"/>
        </w:rPr>
        <w:t>穿墙、楼板、防火墙孔洞必须用防火封堵材料密实封堵，耐火极限匹配墙体耐火等级</w:t>
      </w:r>
    </w:p>
    <w:p w14:paraId="0B34A56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r>
        <w:rPr>
          <w:color w:val="000000"/>
          <w:sz w:val="24"/>
          <w:szCs w:val="24"/>
        </w:rPr>
        <w:t>七、电缆直埋室外敷设</w:t>
      </w:r>
    </w:p>
    <w:p w14:paraId="056D66B2">
      <w:pPr>
        <w:keepNext w:val="0"/>
        <w:keepLines w:val="0"/>
        <w:widowControl/>
        <w:numPr>
          <w:ilvl w:val="0"/>
          <w:numId w:val="17"/>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4"/>
          <w:szCs w:val="24"/>
        </w:rPr>
      </w:pPr>
      <w:r>
        <w:rPr>
          <w:color w:val="000000"/>
          <w:sz w:val="24"/>
          <w:szCs w:val="24"/>
        </w:rPr>
        <w:t>埋深：人行道≥0.7m，车行道≥1.0m，冻土区埋至冻土层以下</w:t>
      </w:r>
    </w:p>
    <w:p w14:paraId="2260FF49">
      <w:pPr>
        <w:keepNext w:val="0"/>
        <w:keepLines w:val="0"/>
        <w:widowControl/>
        <w:numPr>
          <w:ilvl w:val="0"/>
          <w:numId w:val="17"/>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4"/>
          <w:szCs w:val="24"/>
        </w:rPr>
      </w:pPr>
      <w:r>
        <w:rPr>
          <w:color w:val="000000"/>
          <w:sz w:val="24"/>
          <w:szCs w:val="24"/>
        </w:rPr>
        <w:t>垫层：底部铺 100mm 细沙，电缆敷设后再覆 100mm 细沙，上方盖保护砖 / 混凝土板</w:t>
      </w:r>
    </w:p>
    <w:p w14:paraId="341D25A0">
      <w:pPr>
        <w:keepNext w:val="0"/>
        <w:keepLines w:val="0"/>
        <w:widowControl/>
        <w:numPr>
          <w:ilvl w:val="0"/>
          <w:numId w:val="17"/>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4"/>
          <w:szCs w:val="24"/>
        </w:rPr>
      </w:pPr>
      <w:r>
        <w:rPr>
          <w:color w:val="000000"/>
          <w:sz w:val="24"/>
          <w:szCs w:val="24"/>
        </w:rPr>
        <w:t>平行电缆间距≥100mm，接头错开布置，转弯、出入口、直线段设电缆标识桩</w:t>
      </w:r>
    </w:p>
    <w:p w14:paraId="06750F4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r>
        <w:rPr>
          <w:color w:val="000000"/>
          <w:sz w:val="24"/>
          <w:szCs w:val="24"/>
        </w:rPr>
        <w:t>八、过墙、过楼板、变形缝处理</w:t>
      </w:r>
    </w:p>
    <w:p w14:paraId="31C5F80F">
      <w:pPr>
        <w:keepNext w:val="0"/>
        <w:keepLines w:val="0"/>
        <w:widowControl/>
        <w:numPr>
          <w:ilvl w:val="0"/>
          <w:numId w:val="18"/>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4"/>
          <w:szCs w:val="24"/>
        </w:rPr>
      </w:pPr>
      <w:r>
        <w:rPr>
          <w:color w:val="000000"/>
          <w:sz w:val="24"/>
          <w:szCs w:val="24"/>
        </w:rPr>
        <w:t>穿墙、穿楼板必须加套管，缝隙防火封堵严密</w:t>
      </w:r>
    </w:p>
    <w:p w14:paraId="60B7F063">
      <w:pPr>
        <w:keepNext w:val="0"/>
        <w:keepLines w:val="0"/>
        <w:widowControl/>
        <w:numPr>
          <w:ilvl w:val="0"/>
          <w:numId w:val="18"/>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4"/>
          <w:szCs w:val="24"/>
        </w:rPr>
      </w:pPr>
      <w:r>
        <w:rPr>
          <w:color w:val="000000"/>
          <w:sz w:val="24"/>
          <w:szCs w:val="24"/>
        </w:rPr>
        <w:t>穿越伸缩缝、沉降缝：线管做 Ω 型、S 型弯补偿余量，电缆预留松弛弧度，防止沉降拉断线缆</w:t>
      </w:r>
    </w:p>
    <w:p w14:paraId="7B5DC5F6">
      <w:pPr>
        <w:keepNext w:val="0"/>
        <w:keepLines w:val="0"/>
        <w:widowControl/>
        <w:numPr>
          <w:ilvl w:val="0"/>
          <w:numId w:val="18"/>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4"/>
          <w:szCs w:val="24"/>
        </w:rPr>
      </w:pPr>
      <w:r>
        <w:rPr>
          <w:color w:val="000000"/>
          <w:sz w:val="24"/>
          <w:szCs w:val="24"/>
        </w:rPr>
        <w:t>竖井内管线分层固定，孔洞逐层防火封堵</w:t>
      </w:r>
    </w:p>
    <w:p w14:paraId="6B47AAF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color w:val="000000"/>
          <w:sz w:val="24"/>
          <w:szCs w:val="24"/>
        </w:rPr>
      </w:pPr>
      <w:r>
        <w:rPr>
          <w:color w:val="000000"/>
          <w:sz w:val="24"/>
          <w:szCs w:val="24"/>
        </w:rPr>
        <w:t>九、接地系统关键要求（强条）</w:t>
      </w:r>
    </w:p>
    <w:p w14:paraId="7B92720A">
      <w:pPr>
        <w:keepNext w:val="0"/>
        <w:keepLines w:val="0"/>
        <w:widowControl/>
        <w:numPr>
          <w:ilvl w:val="0"/>
          <w:numId w:val="19"/>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4"/>
          <w:szCs w:val="24"/>
        </w:rPr>
      </w:pPr>
      <w:r>
        <w:rPr>
          <w:color w:val="000000"/>
          <w:sz w:val="24"/>
          <w:szCs w:val="24"/>
        </w:rPr>
        <w:t>设备金属外壳、桥架、金属线管、配电箱门</w:t>
      </w:r>
      <w:r>
        <w:rPr>
          <w:rStyle w:val="20"/>
          <w:color w:val="000000"/>
          <w:sz w:val="24"/>
          <w:szCs w:val="24"/>
        </w:rPr>
        <w:t>单独接 PE 线，严禁串接接地</w:t>
      </w:r>
    </w:p>
    <w:p w14:paraId="6911FBDE">
      <w:pPr>
        <w:keepNext w:val="0"/>
        <w:keepLines w:val="0"/>
        <w:widowControl/>
        <w:numPr>
          <w:ilvl w:val="0"/>
          <w:numId w:val="19"/>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4"/>
          <w:szCs w:val="24"/>
        </w:rPr>
      </w:pPr>
      <w:r>
        <w:rPr>
          <w:color w:val="000000"/>
          <w:sz w:val="24"/>
          <w:szCs w:val="24"/>
        </w:rPr>
        <w:t>桥架、线管跨接地线铜芯截面≥4mm²</w:t>
      </w:r>
    </w:p>
    <w:p w14:paraId="7AD79C5C">
      <w:pPr>
        <w:keepNext w:val="0"/>
        <w:keepLines w:val="0"/>
        <w:widowControl/>
        <w:numPr>
          <w:ilvl w:val="0"/>
          <w:numId w:val="19"/>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color w:val="000000"/>
          <w:sz w:val="24"/>
          <w:szCs w:val="24"/>
        </w:rPr>
      </w:pPr>
      <w:r>
        <w:rPr>
          <w:color w:val="000000"/>
          <w:sz w:val="24"/>
          <w:szCs w:val="24"/>
        </w:rPr>
        <w:t>交流单芯电缆禁止单根穿钢导管，夹具不得形成闭合磁路（涡流发热隐患）</w:t>
      </w:r>
    </w:p>
    <w:p w14:paraId="013F1D2A">
      <w:pPr>
        <w:pStyle w:val="33"/>
        <w:numPr>
          <w:ilvl w:val="0"/>
          <w:numId w:val="0"/>
        </w:numPr>
        <w:kinsoku w:val="0"/>
        <w:autoSpaceDE w:val="0"/>
        <w:autoSpaceDN w:val="0"/>
        <w:adjustRightInd w:val="0"/>
        <w:snapToGrid w:val="0"/>
        <w:spacing w:line="240" w:lineRule="auto"/>
        <w:ind w:leftChars="200"/>
        <w:jc w:val="left"/>
        <w:textAlignment w:val="baseline"/>
        <w:rPr>
          <w:rFonts w:hint="eastAsia" w:ascii="仿宋" w:hAnsi="仿宋" w:eastAsia="仿宋" w:cs="仿宋"/>
          <w:sz w:val="28"/>
          <w:szCs w:val="28"/>
          <w:highlight w:val="none"/>
          <w:lang w:val="en-US" w:eastAsia="zh-CN"/>
        </w:rPr>
      </w:pPr>
    </w:p>
    <w:p w14:paraId="47E3F0CD">
      <w:pPr>
        <w:pStyle w:val="33"/>
        <w:numPr>
          <w:ilvl w:val="0"/>
          <w:numId w:val="0"/>
        </w:numPr>
        <w:kinsoku w:val="0"/>
        <w:autoSpaceDE w:val="0"/>
        <w:autoSpaceDN w:val="0"/>
        <w:adjustRightInd w:val="0"/>
        <w:snapToGrid w:val="0"/>
        <w:spacing w:line="240" w:lineRule="auto"/>
        <w:ind w:leftChars="200"/>
        <w:jc w:val="left"/>
        <w:textAlignment w:val="baseline"/>
        <w:rPr>
          <w:rFonts w:hint="eastAsia" w:ascii="仿宋" w:hAnsi="仿宋" w:eastAsia="仿宋" w:cs="仿宋"/>
          <w:sz w:val="28"/>
          <w:szCs w:val="28"/>
          <w:highlight w:val="none"/>
          <w:lang w:val="en-US" w:eastAsia="zh-CN"/>
        </w:rPr>
      </w:pPr>
    </w:p>
    <w:p w14:paraId="4FC5C832">
      <w:pPr>
        <w:pStyle w:val="33"/>
        <w:numPr>
          <w:ilvl w:val="0"/>
          <w:numId w:val="0"/>
        </w:numPr>
        <w:kinsoku w:val="0"/>
        <w:autoSpaceDE w:val="0"/>
        <w:autoSpaceDN w:val="0"/>
        <w:adjustRightInd w:val="0"/>
        <w:snapToGrid w:val="0"/>
        <w:spacing w:line="240" w:lineRule="auto"/>
        <w:jc w:val="left"/>
        <w:textAlignment w:val="baseline"/>
        <w:rPr>
          <w:rFonts w:hint="eastAsia" w:ascii="仿宋" w:hAnsi="仿宋" w:eastAsia="仿宋" w:cs="仿宋"/>
          <w:sz w:val="28"/>
          <w:szCs w:val="28"/>
          <w:highlight w:val="none"/>
          <w:lang w:val="en-US" w:eastAsia="zh-CN"/>
        </w:rPr>
      </w:pPr>
    </w:p>
    <w:p w14:paraId="44F42A11">
      <w:pPr>
        <w:pStyle w:val="33"/>
        <w:numPr>
          <w:ilvl w:val="0"/>
          <w:numId w:val="0"/>
        </w:numPr>
        <w:kinsoku w:val="0"/>
        <w:autoSpaceDE w:val="0"/>
        <w:autoSpaceDN w:val="0"/>
        <w:adjustRightInd w:val="0"/>
        <w:snapToGrid w:val="0"/>
        <w:spacing w:line="240" w:lineRule="auto"/>
        <w:jc w:val="left"/>
        <w:textAlignment w:val="baseline"/>
        <w:rPr>
          <w:rFonts w:hint="eastAsia" w:ascii="仿宋" w:hAnsi="仿宋" w:eastAsia="仿宋" w:cs="仿宋"/>
          <w:sz w:val="28"/>
          <w:szCs w:val="28"/>
          <w:highlight w:val="none"/>
          <w:lang w:val="en-US" w:eastAsia="zh-CN"/>
        </w:rPr>
      </w:pPr>
    </w:p>
    <w:p w14:paraId="1327BB45">
      <w:pPr>
        <w:pStyle w:val="33"/>
        <w:numPr>
          <w:ilvl w:val="0"/>
          <w:numId w:val="0"/>
        </w:numPr>
        <w:rPr>
          <w:rFonts w:hint="eastAsia" w:ascii="仿宋" w:hAnsi="仿宋" w:eastAsia="仿宋" w:cs="仿宋"/>
          <w:sz w:val="28"/>
          <w:szCs w:val="28"/>
          <w:highlight w:val="none"/>
        </w:rPr>
      </w:pPr>
    </w:p>
    <w:p w14:paraId="439C98E3">
      <w:pPr>
        <w:pStyle w:val="33"/>
        <w:numPr>
          <w:ilvl w:val="0"/>
          <w:numId w:val="0"/>
        </w:numPr>
        <w:rPr>
          <w:rFonts w:hint="eastAsia" w:ascii="仿宋" w:hAnsi="仿宋" w:eastAsia="仿宋" w:cs="仿宋"/>
          <w:sz w:val="28"/>
          <w:szCs w:val="28"/>
          <w:highlight w:val="none"/>
        </w:rPr>
      </w:pPr>
    </w:p>
    <w:p w14:paraId="3A5957F4">
      <w:pPr>
        <w:pStyle w:val="33"/>
        <w:numPr>
          <w:ilvl w:val="0"/>
          <w:numId w:val="0"/>
        </w:numPr>
        <w:rPr>
          <w:rFonts w:hint="default"/>
          <w:highlight w:val="none"/>
          <w:lang w:val="en-US" w:eastAsia="zh-CN"/>
        </w:rPr>
      </w:pPr>
      <w:r>
        <w:rPr>
          <w:rFonts w:hint="eastAsia" w:ascii="仿宋" w:hAnsi="仿宋" w:eastAsia="仿宋" w:cs="仿宋"/>
          <w:sz w:val="28"/>
          <w:szCs w:val="28"/>
          <w:highlight w:val="none"/>
        </w:rPr>
        <w:br w:type="page"/>
      </w:r>
    </w:p>
    <w:p w14:paraId="790DDE38">
      <w:pPr>
        <w:pageBreakBefore w:val="0"/>
        <w:shd w:val="clear"/>
        <w:kinsoku/>
        <w:wordWrap/>
        <w:overflowPunct/>
        <w:autoSpaceDE/>
        <w:autoSpaceDN/>
        <w:bidi w:val="0"/>
        <w:adjustRightInd w:val="0"/>
        <w:snapToGrid w:val="0"/>
        <w:spacing w:line="360" w:lineRule="auto"/>
        <w:ind w:firstLine="643" w:firstLineChars="200"/>
        <w:jc w:val="center"/>
        <w:textAlignment w:val="auto"/>
        <w:rPr>
          <w:rFonts w:ascii="仿宋" w:hAnsi="仿宋" w:eastAsia="仿宋" w:cs="仿宋"/>
          <w:b/>
          <w:bCs/>
          <w:sz w:val="32"/>
          <w:szCs w:val="32"/>
          <w:highlight w:val="none"/>
        </w:rPr>
      </w:pPr>
      <w:r>
        <w:rPr>
          <w:rFonts w:hint="eastAsia" w:ascii="仿宋" w:hAnsi="仿宋" w:eastAsia="仿宋" w:cs="仿宋"/>
          <w:b/>
          <w:bCs/>
          <w:sz w:val="32"/>
          <w:szCs w:val="32"/>
          <w:highlight w:val="none"/>
        </w:rPr>
        <w:t>第</w:t>
      </w:r>
      <w:r>
        <w:rPr>
          <w:rFonts w:hint="eastAsia" w:ascii="仿宋" w:hAnsi="仿宋" w:eastAsia="仿宋" w:cs="仿宋"/>
          <w:b/>
          <w:bCs/>
          <w:sz w:val="32"/>
          <w:szCs w:val="32"/>
          <w:highlight w:val="none"/>
          <w:lang w:val="en-US" w:eastAsia="zh-CN"/>
        </w:rPr>
        <w:t>四</w:t>
      </w:r>
      <w:r>
        <w:rPr>
          <w:rFonts w:hint="eastAsia" w:ascii="仿宋" w:hAnsi="仿宋" w:eastAsia="仿宋" w:cs="仿宋"/>
          <w:b/>
          <w:bCs/>
          <w:sz w:val="32"/>
          <w:szCs w:val="32"/>
          <w:highlight w:val="none"/>
        </w:rPr>
        <w:t>章 安全施工操作规程</w:t>
      </w:r>
    </w:p>
    <w:p w14:paraId="55806DF7">
      <w:pPr>
        <w:pStyle w:val="3"/>
        <w:pageBreakBefore w:val="0"/>
        <w:shd w:val="clear"/>
        <w:kinsoku/>
        <w:wordWrap/>
        <w:overflowPunct/>
        <w:autoSpaceDE/>
        <w:autoSpaceDN/>
        <w:bidi w:val="0"/>
        <w:adjustRightInd w:val="0"/>
        <w:snapToGrid w:val="0"/>
        <w:spacing w:line="360" w:lineRule="auto"/>
        <w:ind w:firstLine="422" w:firstLineChars="200"/>
        <w:textAlignment w:val="auto"/>
        <w:rPr>
          <w:rFonts w:ascii="黑体"/>
          <w:b w:val="0"/>
          <w:sz w:val="21"/>
          <w:szCs w:val="21"/>
          <w:highlight w:val="none"/>
        </w:rPr>
      </w:pPr>
      <w:bookmarkStart w:id="19" w:name="_Toc14344"/>
      <w:bookmarkStart w:id="20" w:name="_Toc27469"/>
      <w:bookmarkStart w:id="21" w:name="_Toc28883"/>
      <w:bookmarkStart w:id="22" w:name="_Toc25210"/>
      <w:r>
        <w:rPr>
          <w:rFonts w:hint="eastAsia" w:ascii="宋体" w:hAnsi="宋体" w:eastAsia="宋体" w:cs="宋体"/>
          <w:sz w:val="21"/>
          <w:szCs w:val="21"/>
          <w:highlight w:val="none"/>
        </w:rPr>
        <w:t>第一节  焊工安全操作规程</w:t>
      </w:r>
      <w:bookmarkEnd w:id="19"/>
      <w:bookmarkEnd w:id="20"/>
      <w:bookmarkEnd w:id="21"/>
      <w:bookmarkEnd w:id="22"/>
    </w:p>
    <w:p w14:paraId="5593CBA1">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1、工作前应认真检查工具、设备是否完好，焊机的外壳是否可靠地接地。焊机的修理应由电气保养人员进行，其他人员不得拆修。</w:t>
      </w:r>
    </w:p>
    <w:p w14:paraId="01124CA0">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2、工作前应认真检查工作环境，确认为正常方可开始工作，施工前穿戴好劳动保护用品，戴好安全帽。高空作业要戴好安全带。敲焊渣、磨砂轮戴好平光眼镜。</w:t>
      </w:r>
    </w:p>
    <w:p w14:paraId="25229BA1">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color w:val="000000"/>
          <w:sz w:val="21"/>
          <w:szCs w:val="21"/>
          <w:highlight w:val="none"/>
        </w:rPr>
      </w:pPr>
      <w:r>
        <w:rPr>
          <w:rFonts w:hint="eastAsia" w:ascii="宋体" w:hAnsi="宋体"/>
          <w:color w:val="000000"/>
          <w:sz w:val="21"/>
          <w:szCs w:val="21"/>
          <w:highlight w:val="none"/>
        </w:rPr>
        <w:t>3、焊接前，应检查并确认对焊机的压力机构灵活，夹具牢固，气压、液压系统无泄漏，一切正常后，方可施焊。</w:t>
      </w:r>
    </w:p>
    <w:p w14:paraId="2B55D04F">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color w:val="000000"/>
          <w:sz w:val="21"/>
          <w:szCs w:val="21"/>
          <w:highlight w:val="none"/>
        </w:rPr>
      </w:pPr>
      <w:r>
        <w:rPr>
          <w:rFonts w:hint="eastAsia" w:ascii="宋体" w:hAnsi="宋体"/>
          <w:color w:val="000000"/>
          <w:sz w:val="21"/>
          <w:szCs w:val="21"/>
          <w:highlight w:val="none"/>
        </w:rPr>
        <w:t>4、焊接前，应根据所焊接钢筋截面，调整二次电压，不得焊接超过对焊机规定直径的钢筋。</w:t>
      </w:r>
    </w:p>
    <w:p w14:paraId="7CA0AAB5">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5、接拆电焊机电源线或电焊机发生故障，应会同电工一起进行修理，严防触电事故。</w:t>
      </w:r>
    </w:p>
    <w:p w14:paraId="1EDE70E8">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6、接地线要牢靠安全，不准用脚手架，钢丝缆绳、机床等作接地线。</w:t>
      </w:r>
    </w:p>
    <w:p w14:paraId="623240E7">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 xml:space="preserve">7、在靠近易燃地方焊接，要有严格的防火措施，必要时须经安全员同意方可工作。焊接完毕应认真检查确无火源，才能离开工作场地。 </w:t>
      </w:r>
    </w:p>
    <w:p w14:paraId="2612DD16">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8、焊接密封容器、管子应先开好放气孔。修补已装过油的容器，应清洗干净，打开人孔盖或放气孔，才能进行焊接。</w:t>
      </w:r>
    </w:p>
    <w:p w14:paraId="5977F9F5">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commentRangeStart w:id="7"/>
      <w:r>
        <w:rPr>
          <w:rFonts w:hint="eastAsia" w:ascii="宋体" w:hAnsi="宋体"/>
          <w:sz w:val="21"/>
          <w:szCs w:val="21"/>
          <w:highlight w:val="none"/>
        </w:rPr>
        <w:t xml:space="preserve">9、在已使用过的罐体上进行焊接作业时，必须查明是否有易燃、易爆气体或物料，严禁在未查明之前动火焊接。焊钳、电焊线应经常检查、保养，发现有损坏应及时修好或更换，焊接过程发现短路现象应先关好焊机，再寻找短路原因，防止焊机烧坏。 </w:t>
      </w:r>
    </w:p>
    <w:p w14:paraId="08D39789">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 xml:space="preserve">10、焊接吊码、加强脚手架和重要结构应有足够的强度，并敲去焊渣认真检查是否安全、可靠。 </w:t>
      </w:r>
    </w:p>
    <w:p w14:paraId="2A2A846F">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9、在容器内焊接，应注意通风，把有害烟尘排出，以防中毒。在狭小容器内焊接应有2人，以防触电等事故。</w:t>
      </w:r>
      <w:commentRangeEnd w:id="7"/>
      <w:r>
        <w:commentReference w:id="7"/>
      </w:r>
    </w:p>
    <w:p w14:paraId="54EC84B9">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 xml:space="preserve">12、容器内油漆未干，有可燃体散发不准施焊。 </w:t>
      </w:r>
    </w:p>
    <w:p w14:paraId="36E703EB">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color w:val="000000"/>
          <w:sz w:val="21"/>
          <w:szCs w:val="21"/>
          <w:highlight w:val="none"/>
        </w:rPr>
      </w:pPr>
      <w:r>
        <w:rPr>
          <w:rFonts w:hint="eastAsia" w:ascii="宋体" w:hAnsi="宋体"/>
          <w:color w:val="000000"/>
          <w:sz w:val="21"/>
          <w:szCs w:val="21"/>
          <w:highlight w:val="none"/>
        </w:rPr>
        <w:t>13、施工焊接现场10M范围内，不得堆放油类、木材、氧气瓶、乙炔发生器等易燃、易爆物品。</w:t>
      </w:r>
    </w:p>
    <w:p w14:paraId="1AA1FA13">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color w:val="000000"/>
          <w:sz w:val="21"/>
          <w:szCs w:val="21"/>
          <w:highlight w:val="none"/>
        </w:rPr>
      </w:pPr>
      <w:r>
        <w:rPr>
          <w:rFonts w:hint="eastAsia" w:ascii="宋体" w:hAnsi="宋体"/>
          <w:color w:val="000000"/>
          <w:sz w:val="21"/>
          <w:szCs w:val="21"/>
          <w:highlight w:val="none"/>
        </w:rPr>
        <w:t>14、断路器的接触点、电极应定期光磨，二次电路全部连接螺栓应定期紧固。冷却水温度不得超过40℃；排水量应根据温度调节。</w:t>
      </w:r>
    </w:p>
    <w:p w14:paraId="76553170">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color w:val="000000"/>
          <w:sz w:val="21"/>
          <w:szCs w:val="21"/>
          <w:highlight w:val="none"/>
        </w:rPr>
      </w:pPr>
      <w:r>
        <w:rPr>
          <w:rFonts w:hint="eastAsia" w:ascii="宋体" w:hAnsi="宋体"/>
          <w:color w:val="000000"/>
          <w:sz w:val="21"/>
          <w:szCs w:val="21"/>
          <w:highlight w:val="none"/>
        </w:rPr>
        <w:t>15、焊接较长钢筋时，应设置托架，配合搬运钢筋的操作人员，在焊接时应防止火花烫伤。</w:t>
      </w:r>
    </w:p>
    <w:p w14:paraId="6C01FBD8">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color w:val="000000"/>
          <w:sz w:val="21"/>
          <w:szCs w:val="21"/>
          <w:highlight w:val="none"/>
        </w:rPr>
      </w:pPr>
      <w:r>
        <w:rPr>
          <w:rFonts w:hint="eastAsia" w:ascii="宋体" w:hAnsi="宋体"/>
          <w:color w:val="000000"/>
          <w:sz w:val="21"/>
          <w:szCs w:val="21"/>
          <w:highlight w:val="none"/>
        </w:rPr>
        <w:t>16、闪光区应设挡板，与焊接无关的人员不得入内。</w:t>
      </w:r>
    </w:p>
    <w:p w14:paraId="0C1C901F">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color w:val="0000FF"/>
          <w:sz w:val="21"/>
          <w:szCs w:val="21"/>
          <w:highlight w:val="none"/>
        </w:rPr>
      </w:pPr>
      <w:r>
        <w:rPr>
          <w:rFonts w:hint="eastAsia" w:ascii="宋体" w:hAnsi="宋体"/>
          <w:color w:val="000000"/>
          <w:sz w:val="21"/>
          <w:szCs w:val="21"/>
          <w:highlight w:val="none"/>
        </w:rPr>
        <w:t>17、冬季施焊时，室内温度不应低于8℃。作业后，应放尽机内冷却水。</w:t>
      </w:r>
    </w:p>
    <w:p w14:paraId="7E41AD38">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color w:val="000000"/>
          <w:sz w:val="21"/>
          <w:szCs w:val="21"/>
          <w:highlight w:val="none"/>
        </w:rPr>
      </w:pPr>
      <w:r>
        <w:rPr>
          <w:rFonts w:ascii="宋体" w:hAnsi="宋体"/>
          <w:color w:val="000000"/>
          <w:sz w:val="21"/>
          <w:szCs w:val="21"/>
          <w:highlight w:val="none"/>
        </w:rPr>
        <w:t>1</w:t>
      </w:r>
      <w:r>
        <w:rPr>
          <w:rFonts w:hint="eastAsia" w:ascii="宋体" w:hAnsi="宋体"/>
          <w:color w:val="000000"/>
          <w:sz w:val="21"/>
          <w:szCs w:val="21"/>
          <w:highlight w:val="none"/>
        </w:rPr>
        <w:t>8、电焊机应放在防雨和通风良好的地方，焊接现场不准堆放易燃、易爆物品，使用电焊机必须按规定穿戴防护用品。</w:t>
      </w:r>
    </w:p>
    <w:p w14:paraId="21839738">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color w:val="000000"/>
          <w:sz w:val="21"/>
          <w:szCs w:val="21"/>
          <w:highlight w:val="none"/>
        </w:rPr>
      </w:pPr>
      <w:r>
        <w:rPr>
          <w:rFonts w:ascii="宋体" w:hAnsi="宋体"/>
          <w:sz w:val="21"/>
          <w:szCs w:val="21"/>
          <w:highlight w:val="none"/>
        </w:rPr>
        <w:t>1</w:t>
      </w:r>
      <w:r>
        <w:rPr>
          <w:rFonts w:hint="eastAsia" w:ascii="宋体" w:hAnsi="宋体"/>
          <w:sz w:val="21"/>
          <w:szCs w:val="21"/>
          <w:highlight w:val="none"/>
        </w:rPr>
        <w:t>9、焊钳与把线必须绝缘良好，连接牢固，更换焊条应戴手套；潮湿地点工作，应站在绝缘胶板上或木板上。</w:t>
      </w:r>
      <w:r>
        <w:rPr>
          <w:rFonts w:hint="eastAsia" w:ascii="宋体" w:hAnsi="宋体"/>
          <w:color w:val="000000"/>
          <w:sz w:val="21"/>
          <w:szCs w:val="21"/>
          <w:highlight w:val="none"/>
        </w:rPr>
        <w:br w:type="textWrapping"/>
      </w:r>
      <w:r>
        <w:rPr>
          <w:rFonts w:hint="eastAsia" w:ascii="宋体" w:hAnsi="宋体"/>
          <w:color w:val="000000"/>
          <w:sz w:val="21"/>
          <w:szCs w:val="21"/>
          <w:highlight w:val="none"/>
        </w:rPr>
        <w:t xml:space="preserve">    20、交流弧焊机一次电源线长度应不大于5米，电焊机二次线电缆长度应不大于30米。</w:t>
      </w:r>
      <w:r>
        <w:rPr>
          <w:rFonts w:hint="eastAsia" w:ascii="宋体" w:hAnsi="宋体"/>
          <w:color w:val="000000"/>
          <w:sz w:val="21"/>
          <w:szCs w:val="21"/>
          <w:highlight w:val="none"/>
        </w:rPr>
        <w:br w:type="textWrapping"/>
      </w:r>
      <w:r>
        <w:rPr>
          <w:rFonts w:hint="eastAsia" w:ascii="宋体" w:hAnsi="宋体"/>
          <w:color w:val="000000"/>
          <w:sz w:val="21"/>
          <w:szCs w:val="21"/>
          <w:highlight w:val="none"/>
        </w:rPr>
        <w:t xml:space="preserve">    21、严禁在带压力的容器或管道上施焊，焊接带电的设备必须先切断电源。</w:t>
      </w:r>
      <w:r>
        <w:rPr>
          <w:rFonts w:hint="eastAsia" w:ascii="宋体" w:hAnsi="宋体"/>
          <w:color w:val="000000"/>
          <w:sz w:val="21"/>
          <w:szCs w:val="21"/>
          <w:highlight w:val="none"/>
        </w:rPr>
        <w:br w:type="textWrapping"/>
      </w:r>
      <w:r>
        <w:rPr>
          <w:rFonts w:hint="eastAsia" w:ascii="宋体" w:hAnsi="宋体"/>
          <w:color w:val="000000"/>
          <w:sz w:val="21"/>
          <w:szCs w:val="21"/>
          <w:highlight w:val="none"/>
        </w:rPr>
        <w:t xml:space="preserve">   </w:t>
      </w:r>
      <w:r>
        <w:rPr>
          <w:rFonts w:ascii="宋体" w:hAnsi="宋体"/>
          <w:color w:val="000000"/>
          <w:sz w:val="21"/>
          <w:szCs w:val="21"/>
          <w:highlight w:val="none"/>
        </w:rPr>
        <w:t xml:space="preserve"> </w:t>
      </w:r>
      <w:r>
        <w:rPr>
          <w:rFonts w:hint="eastAsia" w:ascii="宋体" w:hAnsi="宋体"/>
          <w:color w:val="000000"/>
          <w:sz w:val="21"/>
          <w:szCs w:val="21"/>
          <w:highlight w:val="none"/>
        </w:rPr>
        <w:t>22、焊接贮存过易燃、易爆、有毒物品的容器或管道，必须先清除干净，并将所有孔口打开。</w:t>
      </w:r>
    </w:p>
    <w:p w14:paraId="050CD29B">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color w:val="000000"/>
          <w:sz w:val="21"/>
          <w:szCs w:val="21"/>
          <w:highlight w:val="none"/>
        </w:rPr>
      </w:pPr>
      <w:r>
        <w:rPr>
          <w:rFonts w:hint="eastAsia" w:ascii="宋体" w:hAnsi="宋体"/>
          <w:color w:val="000000"/>
          <w:sz w:val="21"/>
          <w:szCs w:val="21"/>
          <w:highlight w:val="none"/>
        </w:rPr>
        <w:t>23、在密闭金属容器内施焊时，容器必须可靠接地、通风良好，并应有人监护。严禁往容器内输入氧气。</w:t>
      </w:r>
      <w:r>
        <w:rPr>
          <w:rFonts w:hint="eastAsia" w:ascii="宋体" w:hAnsi="宋体"/>
          <w:color w:val="000000"/>
          <w:sz w:val="21"/>
          <w:szCs w:val="21"/>
          <w:highlight w:val="none"/>
        </w:rPr>
        <w:br w:type="textWrapping"/>
      </w:r>
      <w:r>
        <w:rPr>
          <w:rFonts w:hint="eastAsia" w:ascii="宋体" w:hAnsi="宋体"/>
          <w:color w:val="000000"/>
          <w:sz w:val="21"/>
          <w:szCs w:val="21"/>
          <w:highlight w:val="none"/>
        </w:rPr>
        <w:t xml:space="preserve">    24、焊接预热工件时，应有石棉布或挡板等隔热措施。</w:t>
      </w:r>
      <w:r>
        <w:rPr>
          <w:rFonts w:hint="eastAsia" w:ascii="宋体" w:hAnsi="宋体"/>
          <w:color w:val="000000"/>
          <w:sz w:val="21"/>
          <w:szCs w:val="21"/>
          <w:highlight w:val="none"/>
        </w:rPr>
        <w:br w:type="textWrapping"/>
      </w:r>
      <w:r>
        <w:rPr>
          <w:rFonts w:hint="eastAsia" w:ascii="宋体" w:hAnsi="宋体"/>
          <w:color w:val="000000"/>
          <w:sz w:val="21"/>
          <w:szCs w:val="21"/>
          <w:highlight w:val="none"/>
        </w:rPr>
        <w:t xml:space="preserve">    25、把线、地线，禁止与钢丝绳接触，更不得用钢丝绳或机电设备代替零线。所有地线接头必须连接牢固。</w:t>
      </w:r>
      <w:r>
        <w:rPr>
          <w:rFonts w:hint="eastAsia" w:ascii="宋体" w:hAnsi="宋体"/>
          <w:color w:val="000000"/>
          <w:sz w:val="21"/>
          <w:szCs w:val="21"/>
          <w:highlight w:val="none"/>
        </w:rPr>
        <w:br w:type="textWrapping"/>
      </w:r>
      <w:r>
        <w:rPr>
          <w:rFonts w:hint="eastAsia" w:ascii="宋体" w:hAnsi="宋体"/>
          <w:color w:val="000000"/>
          <w:sz w:val="21"/>
          <w:szCs w:val="21"/>
          <w:highlight w:val="none"/>
        </w:rPr>
        <w:t xml:space="preserve">    26、更换场地移动把线时，应切断电源，并不得手持把线爬梯登高。</w:t>
      </w:r>
      <w:r>
        <w:rPr>
          <w:rFonts w:hint="eastAsia" w:ascii="宋体" w:hAnsi="宋体"/>
          <w:color w:val="000000"/>
          <w:sz w:val="21"/>
          <w:szCs w:val="21"/>
          <w:highlight w:val="none"/>
        </w:rPr>
        <w:br w:type="textWrapping"/>
      </w:r>
      <w:r>
        <w:rPr>
          <w:rFonts w:hint="eastAsia" w:ascii="宋体" w:hAnsi="宋体"/>
          <w:color w:val="000000"/>
          <w:sz w:val="21"/>
          <w:szCs w:val="21"/>
          <w:highlight w:val="none"/>
        </w:rPr>
        <w:t xml:space="preserve">    27、清除焊渣采用电弧气刨清根时，应戴防护眼镜或面罩，防止铁渣飞溅伤人。</w:t>
      </w:r>
      <w:r>
        <w:rPr>
          <w:rFonts w:hint="eastAsia" w:ascii="宋体" w:hAnsi="宋体"/>
          <w:color w:val="000000"/>
          <w:sz w:val="21"/>
          <w:szCs w:val="21"/>
          <w:highlight w:val="none"/>
        </w:rPr>
        <w:br w:type="textWrapping"/>
      </w:r>
      <w:r>
        <w:rPr>
          <w:rFonts w:hint="eastAsia" w:ascii="宋体" w:hAnsi="宋体"/>
          <w:color w:val="000000"/>
          <w:sz w:val="21"/>
          <w:szCs w:val="21"/>
          <w:highlight w:val="none"/>
        </w:rPr>
        <w:t xml:space="preserve">    28、雷雨时，应停止露天焊接作业;更换场地移动把线应切断电源。</w:t>
      </w:r>
      <w:r>
        <w:rPr>
          <w:rFonts w:hint="eastAsia" w:ascii="宋体" w:hAnsi="宋体"/>
          <w:color w:val="000000"/>
          <w:sz w:val="21"/>
          <w:szCs w:val="21"/>
          <w:highlight w:val="none"/>
        </w:rPr>
        <w:br w:type="textWrapping"/>
      </w:r>
      <w:r>
        <w:rPr>
          <w:rFonts w:hint="eastAsia" w:ascii="宋体" w:hAnsi="宋体"/>
          <w:color w:val="000000"/>
          <w:sz w:val="21"/>
          <w:szCs w:val="21"/>
          <w:highlight w:val="none"/>
        </w:rPr>
        <w:t xml:space="preserve">    </w:t>
      </w:r>
      <w:r>
        <w:rPr>
          <w:rFonts w:ascii="宋体" w:hAnsi="宋体"/>
          <w:color w:val="000000"/>
          <w:sz w:val="21"/>
          <w:szCs w:val="21"/>
          <w:highlight w:val="none"/>
        </w:rPr>
        <w:t>2</w:t>
      </w:r>
      <w:r>
        <w:rPr>
          <w:rFonts w:hint="eastAsia" w:ascii="宋体" w:hAnsi="宋体"/>
          <w:color w:val="000000"/>
          <w:sz w:val="21"/>
          <w:szCs w:val="21"/>
          <w:highlight w:val="none"/>
        </w:rPr>
        <w:t>9、必须在易燃易爆气体或液体扩散区施焊时，应经有关部门检试许可后，方可施焊。</w:t>
      </w:r>
    </w:p>
    <w:p w14:paraId="395AE3B6">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color w:val="000000"/>
          <w:sz w:val="21"/>
          <w:szCs w:val="21"/>
          <w:highlight w:val="none"/>
        </w:rPr>
        <w:t>30、电焊着火时，应先切断焊机电源，再用二氧化碳、干粉等灭火器灭火，禁止使用泡沫灭火器。 </w:t>
      </w:r>
    </w:p>
    <w:p w14:paraId="273DB40C">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31、工作完毕，必须断掉龙头线接头，检查现场，灭绝火种，切断电源，确认无起火危险后，方可离去。</w:t>
      </w:r>
    </w:p>
    <w:p w14:paraId="3039EB06">
      <w:pPr>
        <w:pStyle w:val="15"/>
        <w:pageBreakBefore w:val="0"/>
        <w:shd w:val="clear"/>
        <w:kinsoku/>
        <w:wordWrap/>
        <w:overflowPunct/>
        <w:autoSpaceDE/>
        <w:autoSpaceDN/>
        <w:bidi w:val="0"/>
        <w:adjustRightInd w:val="0"/>
        <w:snapToGrid w:val="0"/>
        <w:spacing w:line="360" w:lineRule="auto"/>
        <w:ind w:firstLine="420" w:firstLineChars="200"/>
        <w:jc w:val="center"/>
        <w:textAlignment w:val="auto"/>
        <w:rPr>
          <w:rFonts w:ascii="宋体" w:hAnsi="宋体" w:cs="宋体"/>
          <w:b/>
          <w:bCs/>
          <w:sz w:val="21"/>
          <w:szCs w:val="21"/>
          <w:highlight w:val="none"/>
        </w:rPr>
      </w:pPr>
      <w:bookmarkStart w:id="23" w:name="_Toc31024"/>
      <w:bookmarkStart w:id="24" w:name="_Toc16316"/>
      <w:bookmarkStart w:id="25" w:name="_Toc2036"/>
      <w:r>
        <w:rPr>
          <w:rFonts w:hint="eastAsia" w:ascii="宋体" w:hAnsi="宋体" w:cs="宋体"/>
          <w:b/>
          <w:bCs/>
          <w:sz w:val="21"/>
          <w:szCs w:val="21"/>
          <w:highlight w:val="none"/>
        </w:rPr>
        <w:t>第二节 电工安全操作规程</w:t>
      </w:r>
      <w:bookmarkEnd w:id="23"/>
      <w:bookmarkEnd w:id="24"/>
      <w:bookmarkEnd w:id="25"/>
    </w:p>
    <w:p w14:paraId="74D2B55E">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ascii="宋体" w:hAnsi="宋体"/>
          <w:sz w:val="21"/>
          <w:szCs w:val="21"/>
          <w:highlight w:val="none"/>
        </w:rPr>
        <w:t xml:space="preserve"> </w:t>
      </w:r>
      <w:r>
        <w:rPr>
          <w:rFonts w:hint="eastAsia" w:ascii="宋体" w:hAnsi="宋体"/>
          <w:sz w:val="21"/>
          <w:szCs w:val="21"/>
          <w:highlight w:val="none"/>
        </w:rPr>
        <w:t xml:space="preserve">1、电工作业人员必须经过有关部门安全技术培训，取得特种作业操作证后，方可独立上岗操作。现场用电作业必须由电工完成，严禁他人私拉乱接等作业。    </w:t>
      </w:r>
    </w:p>
    <w:p w14:paraId="7AA1C871">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 xml:space="preserve">2、所有绝缘、检验工具，应妥善保管，严禁他用，并应定期检查、检验。    </w:t>
      </w:r>
    </w:p>
    <w:p w14:paraId="76EDB3EF">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 xml:space="preserve">3、现场施工用电高低压设备及线路，应按照施工组织设计及有关电气安全技术规程安装和架设。线路上禁止带负荷接电或断电，并禁止带电操作。  </w:t>
      </w:r>
    </w:p>
    <w:p w14:paraId="192F4B11">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 xml:space="preserve">4、电气设备和线路必须绝缘良好，电线不得与金属物绑在一起；各种施工用电设备必须按规定进行保护接零及装没漏保器。遇有临时停电或停工休息时，必须拉闸加锁。    </w:t>
      </w:r>
    </w:p>
    <w:p w14:paraId="5ED81C91">
      <w:pPr>
        <w:pageBreakBefore w:val="0"/>
        <w:shd w:val="clear"/>
        <w:kinsoku/>
        <w:wordWrap/>
        <w:overflowPunct/>
        <w:autoSpaceDE/>
        <w:autoSpaceDN/>
        <w:bidi w:val="0"/>
        <w:adjustRightInd w:val="0"/>
        <w:snapToGrid w:val="0"/>
        <w:spacing w:line="360" w:lineRule="auto"/>
        <w:ind w:firstLine="420" w:firstLineChars="200"/>
        <w:textAlignment w:val="auto"/>
        <w:rPr>
          <w:rFonts w:ascii="_x000B__x000C_" w:hAnsi="_x000B__x000C_"/>
          <w:color w:val="000000"/>
          <w:sz w:val="21"/>
          <w:szCs w:val="21"/>
          <w:highlight w:val="none"/>
        </w:rPr>
      </w:pPr>
      <w:r>
        <w:rPr>
          <w:rFonts w:hint="eastAsia" w:ascii="宋体" w:hAnsi="宋体"/>
          <w:sz w:val="21"/>
          <w:szCs w:val="21"/>
          <w:highlight w:val="none"/>
        </w:rPr>
        <w:t>5、有人触电时，应立即切断电源，进行急救；电气着火时，应立即将有关电源切断，使用绝缘灭火机或干砂灭火。</w:t>
      </w:r>
      <w:r>
        <w:rPr>
          <w:rFonts w:hint="eastAsia" w:ascii="_x000B__x000C_" w:hAnsi="_x000B__x000C_"/>
          <w:color w:val="000000"/>
          <w:sz w:val="21"/>
          <w:szCs w:val="21"/>
          <w:highlight w:val="none"/>
        </w:rPr>
        <w:t>严禁使用泡沫灭火器。</w:t>
      </w:r>
    </w:p>
    <w:p w14:paraId="7BAF7295">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 xml:space="preserve">6、在施工现场专用的中性点直接接地的电力系统中，必须采用TN—S接零保护系统。  </w:t>
      </w:r>
    </w:p>
    <w:p w14:paraId="60BC9919">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 xml:space="preserve">7、施工现场每一处重复接地的按地电阻值应不大于10欧姆，且不得少于3处(即总配电箱、线路的中间和末端处)。   </w:t>
      </w:r>
    </w:p>
    <w:p w14:paraId="4DB745B6">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 xml:space="preserve">8、电气设备所有保险丝(片)的额定电源应与其负荷容量相适应。禁上用其他金属丝代替保险丝。    </w:t>
      </w:r>
    </w:p>
    <w:p w14:paraId="58A25FD7">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 xml:space="preserve">9、动力线路与照明线路必须分开架设。照明开关、灯口及插座等，应正确接入相线及零线。   </w:t>
      </w:r>
    </w:p>
    <w:p w14:paraId="6BC6EC17">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 xml:space="preserve">10、施工现场夜间临时照明电线及灯具，室内高度应不低于2.4米，室外高度应不低于3米。易燃、易爆场所应有防爆灯具。施工现场照明灯具的金属外壳和金属支架必须作保护接零。电线要采用三芯橡皮护套电缆，严禁使用花线和护套线。   </w:t>
      </w:r>
    </w:p>
    <w:p w14:paraId="38BCC619">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 xml:space="preserve">9、要按规定做好钢管脚手架、物料提升机、塔吊等的防雷接地保护。接地体可用角钢，不得使用螺纹钢，接地电阻应符合规范要求。   </w:t>
      </w:r>
    </w:p>
    <w:p w14:paraId="77E70BF9">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 xml:space="preserve">12、支线架设应设置横担，并用绝缘子固定；电线严禁架设在脚手架、树木等处，不准用竹质电杆；架空线路不准成束架设。    </w:t>
      </w:r>
    </w:p>
    <w:p w14:paraId="070EFA0E">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 xml:space="preserve">13、电气设备的金属外壳，必须接保护零线，同一供电系统不允许电气设备有的接地有的保护接零。    </w:t>
      </w:r>
    </w:p>
    <w:p w14:paraId="6BCE2734">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 xml:space="preserve">14、施工现场配电箱要有防雨措施，门锁齐全，有色标，统一编号。开关箱要做到一机一闸一漏一箱，箱内尤杂物；开关箱、配电箱内严禁动力、照明混用；要有检修记录及记录本。  </w:t>
      </w:r>
    </w:p>
    <w:p w14:paraId="7B2458F7">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 xml:space="preserve">15、移动电箱电源线长度不大于30米，移动用电设备引出线不大于5米。 </w:t>
      </w:r>
    </w:p>
    <w:p w14:paraId="791B7A1D">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color w:val="000000"/>
          <w:sz w:val="21"/>
          <w:szCs w:val="21"/>
          <w:highlight w:val="none"/>
        </w:rPr>
      </w:pPr>
      <w:r>
        <w:rPr>
          <w:rFonts w:hint="eastAsia" w:ascii="宋体" w:hAnsi="宋体"/>
          <w:color w:val="000000"/>
          <w:sz w:val="21"/>
          <w:szCs w:val="21"/>
          <w:highlight w:val="none"/>
        </w:rPr>
        <w:t>16、所有配电箱均应标明其名称、用途，并作出分路标记。 所有配电箱门应配锁，配电箱和开关箱应由持证的电工负责使用管理。</w:t>
      </w:r>
    </w:p>
    <w:p w14:paraId="42785FA8">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color w:val="000000"/>
          <w:sz w:val="21"/>
          <w:szCs w:val="21"/>
          <w:highlight w:val="none"/>
        </w:rPr>
      </w:pPr>
      <w:r>
        <w:rPr>
          <w:rFonts w:hint="eastAsia" w:ascii="宋体" w:hAnsi="宋体"/>
          <w:color w:val="000000"/>
          <w:sz w:val="21"/>
          <w:szCs w:val="21"/>
          <w:highlight w:val="none"/>
        </w:rPr>
        <w:t>17、安装高压油开关，自动空气开关等有返回弹簧的开关设备时，应将开关置于断开位置。</w:t>
      </w:r>
    </w:p>
    <w:p w14:paraId="54814211">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color w:val="000000"/>
          <w:sz w:val="21"/>
          <w:szCs w:val="21"/>
          <w:highlight w:val="none"/>
        </w:rPr>
      </w:pPr>
      <w:r>
        <w:rPr>
          <w:rFonts w:hint="eastAsia" w:ascii="宋体" w:hAnsi="宋体"/>
          <w:color w:val="000000"/>
          <w:sz w:val="21"/>
          <w:szCs w:val="21"/>
          <w:highlight w:val="none"/>
        </w:rPr>
        <w:t>18、电力传动装置系统及高低压各型开关调试时，应将有关的开关手柄取下或锁上，悬挂标志牌，防止误合闸。</w:t>
      </w:r>
    </w:p>
    <w:p w14:paraId="25FF7F13">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color w:val="000000"/>
          <w:sz w:val="21"/>
          <w:szCs w:val="21"/>
          <w:highlight w:val="none"/>
        </w:rPr>
      </w:pPr>
      <w:r>
        <w:rPr>
          <w:rFonts w:hint="eastAsia" w:ascii="宋体" w:hAnsi="宋体"/>
          <w:color w:val="000000"/>
          <w:sz w:val="21"/>
          <w:szCs w:val="21"/>
          <w:highlight w:val="none"/>
        </w:rPr>
        <w:t>19、施工现场临时用电以及电机设备必须建立安全技术档案，现场应配置专职维护电工，并做好巡视维修记录。</w:t>
      </w:r>
    </w:p>
    <w:p w14:paraId="62F79DA5">
      <w:pPr>
        <w:pStyle w:val="15"/>
        <w:pageBreakBefore w:val="0"/>
        <w:shd w:val="clear"/>
        <w:kinsoku/>
        <w:wordWrap/>
        <w:overflowPunct/>
        <w:autoSpaceDE/>
        <w:autoSpaceDN/>
        <w:bidi w:val="0"/>
        <w:adjustRightInd w:val="0"/>
        <w:snapToGrid w:val="0"/>
        <w:spacing w:line="360" w:lineRule="auto"/>
        <w:ind w:firstLine="420" w:firstLineChars="200"/>
        <w:jc w:val="center"/>
        <w:textAlignment w:val="auto"/>
        <w:rPr>
          <w:rFonts w:ascii="宋体" w:hAnsi="宋体" w:cs="宋体"/>
          <w:b/>
          <w:bCs/>
          <w:sz w:val="21"/>
          <w:szCs w:val="21"/>
          <w:highlight w:val="none"/>
        </w:rPr>
      </w:pPr>
      <w:bookmarkStart w:id="26" w:name="_Toc21589"/>
      <w:bookmarkStart w:id="27" w:name="_Toc5717"/>
      <w:bookmarkStart w:id="28" w:name="_Toc17144"/>
      <w:r>
        <w:rPr>
          <w:rFonts w:hint="eastAsia" w:ascii="宋体" w:hAnsi="宋体" w:cs="宋体"/>
          <w:b/>
          <w:bCs/>
          <w:sz w:val="21"/>
          <w:szCs w:val="21"/>
          <w:highlight w:val="none"/>
        </w:rPr>
        <w:t>第三节 架子工安全操作规程</w:t>
      </w:r>
      <w:bookmarkEnd w:id="26"/>
      <w:bookmarkEnd w:id="27"/>
      <w:bookmarkEnd w:id="28"/>
    </w:p>
    <w:p w14:paraId="2D18FA3B">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1、架子工(建筑登高架设作业人员)经特种作业和高处作业安全技术培训考核，取得特种作业操作证和体检合格后，才能进行脚手架的搭设和拆除工作。</w:t>
      </w:r>
    </w:p>
    <w:p w14:paraId="4674C773">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2、搭设脚手架必须按规范进行，即：横平竖直、连接牢固，底脚着实，层层拉结，支撑挺直，通畅平坦，设施齐全、牢固。</w:t>
      </w:r>
    </w:p>
    <w:p w14:paraId="7F131982">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3、架子工必须严格按专项施工方案及操作规程的要求搭设，在搭设中要正确佩戴和使用劳动保护用品，戴好安全帽，系安全带，佩带工具袋（套），禁止穿硬底和带钉易滑的鞋上岗。</w:t>
      </w:r>
    </w:p>
    <w:p w14:paraId="3BDA8695">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4、架子工的作业必须遵照安全技术操作规程、施工负责人的安全技术交底进行，在操作中要严格按规程、标准要求搭设，坚守工作岗位，严禁酒后上岗操作。</w:t>
      </w:r>
    </w:p>
    <w:p w14:paraId="513BF834">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5、脚手架不得钢、竹混搭，主要受力杆件，如立杆、大横杆、小横杆和剪刀撑等，在同一建筑立面必须使用同一材质的材料。</w:t>
      </w:r>
    </w:p>
    <w:p w14:paraId="22B75F36">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6、搭设用钢管和扣件必须符合国家标准，禁止使用有严重锈蚀、弯曲变形或有裂纹的钢管，脆裂、变形、滑丝的扣件也禁止使用。</w:t>
      </w:r>
    </w:p>
    <w:p w14:paraId="51C586EA">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7、脚手架内立杆与外墙面间按规定进行防护。脚手架上人斜道应有独立的支撑系统，转角休息平台应不小于2平方米，斜道坡度不得大于l:3，防滑条的间距不得大于30厘米。</w:t>
      </w:r>
    </w:p>
    <w:p w14:paraId="66A5DF35">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8、钢管脚手架立杆的底脚应垂直稳放在砼垫块或砼硬化地基上，并设纵、横向扫地杆。</w:t>
      </w:r>
    </w:p>
    <w:p w14:paraId="4C16824B">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9、脚于架两端、转角处以及外侧的剪刀撑必须接续到位，拉结点构造和数量符合要求。</w:t>
      </w:r>
    </w:p>
    <w:p w14:paraId="6461DF21">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10、设置的立杆应等距，纵向间距不得大于1.8</w:t>
      </w:r>
      <w:commentRangeStart w:id="8"/>
      <w:r>
        <w:rPr>
          <w:rFonts w:hint="eastAsia" w:ascii="宋体" w:hAnsi="宋体"/>
          <w:sz w:val="21"/>
          <w:szCs w:val="21"/>
          <w:highlight w:val="none"/>
        </w:rPr>
        <w:t>水</w:t>
      </w:r>
      <w:commentRangeEnd w:id="8"/>
      <w:r>
        <w:commentReference w:id="8"/>
      </w:r>
      <w:r>
        <w:rPr>
          <w:rFonts w:hint="eastAsia" w:ascii="宋体" w:hAnsi="宋体"/>
          <w:sz w:val="21"/>
          <w:szCs w:val="21"/>
          <w:highlight w:val="none"/>
        </w:rPr>
        <w:t>、脚厂架离墙面不宜大于10厘米。大于10厘米的，必须采取隔离措施。</w:t>
      </w:r>
    </w:p>
    <w:p w14:paraId="27077056">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lang w:val="en-US" w:eastAsia="zh-CN"/>
        </w:rPr>
        <w:t>11</w:t>
      </w:r>
      <w:r>
        <w:rPr>
          <w:rFonts w:hint="eastAsia" w:ascii="宋体" w:hAnsi="宋体"/>
          <w:sz w:val="21"/>
          <w:szCs w:val="21"/>
          <w:highlight w:val="none"/>
        </w:rPr>
        <w:t>、脚手架主要杆件的接长点必须错开；钢管剪刀撑的接长处必须搭接，其搭接长度不得小于50厘米。</w:t>
      </w:r>
    </w:p>
    <w:p w14:paraId="4FF0EFCA">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12、脚手架的顶端必须按规程要求封顶；里立杆应低于檐口50厘米，外立杆应高出檐口1米。脚手架的外侧，自第二步起，必须每步设1.2米高的防护栏杆和30米厘米高的挡脚杆；顶排的扶手栏杆不得少于2道，高度分别为1.2米和1.8米。</w:t>
      </w:r>
    </w:p>
    <w:p w14:paraId="2312FC77">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13、脚手架与各类输电线路的距离必须符合规定的安全距离，否则必须采取必要的安全防护措施。搭没和拆除架体时，必须注意安全，谨防杆件碰及高压线后伤人。</w:t>
      </w:r>
    </w:p>
    <w:p w14:paraId="00865B9C">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14、操作面高于2米的里脚手架的安全防护、强度、刚性和稳定性必须同样符合有关要求。</w:t>
      </w:r>
    </w:p>
    <w:p w14:paraId="12637257">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15、脚手架必须有良好的避雷接地装置，接地电阻不大于lo欧姆。</w:t>
      </w:r>
    </w:p>
    <w:p w14:paraId="419E8E29">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16、脚手架上的垃圾杂物必须经常清理，发现脚手片破损或杆件弯曲、变形的，应及时更换。</w:t>
      </w:r>
    </w:p>
    <w:p w14:paraId="680496D4">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17、严禁在脚手架上拉缆风绳和设置起重把杆；不准在脚手架上搁运料滑槽，搭设受料平台；不准采用斜拉、斜吊方式从脚手架上进料。</w:t>
      </w:r>
    </w:p>
    <w:p w14:paraId="6AB9BE31">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lang w:val="en-US" w:eastAsia="zh-CN"/>
        </w:rPr>
        <w:t>18</w:t>
      </w:r>
      <w:r>
        <w:rPr>
          <w:rFonts w:hint="eastAsia" w:ascii="宋体" w:hAnsi="宋体"/>
          <w:sz w:val="21"/>
          <w:szCs w:val="21"/>
          <w:highlight w:val="none"/>
        </w:rPr>
        <w:t>、遇有六级以上大风等恶劣气候，禁止进行露天的高处架子作业。</w:t>
      </w:r>
    </w:p>
    <w:p w14:paraId="4FD9E0F0">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宋体" w:hAnsi="宋体"/>
          <w:sz w:val="21"/>
          <w:szCs w:val="21"/>
          <w:highlight w:val="none"/>
        </w:rPr>
        <w:t>1</w:t>
      </w:r>
      <w:r>
        <w:rPr>
          <w:rFonts w:hint="eastAsia" w:ascii="宋体" w:hAnsi="宋体"/>
          <w:sz w:val="21"/>
          <w:szCs w:val="21"/>
          <w:highlight w:val="none"/>
          <w:lang w:val="en-US" w:eastAsia="zh-CN"/>
        </w:rPr>
        <w:t>9</w:t>
      </w:r>
      <w:r>
        <w:rPr>
          <w:rFonts w:hint="eastAsia" w:ascii="宋体" w:hAnsi="宋体"/>
          <w:sz w:val="21"/>
          <w:szCs w:val="21"/>
          <w:highlight w:val="none"/>
        </w:rPr>
        <w:t>、架子的铺设宽度</w:t>
      </w:r>
      <w:r>
        <w:rPr>
          <w:rFonts w:hint="eastAsia" w:ascii="仿宋_GB2312"/>
          <w:sz w:val="21"/>
          <w:szCs w:val="21"/>
          <w:highlight w:val="none"/>
        </w:rPr>
        <w:t>不得小于1.2米，脚手板须满铺，不得有空隙和探头板，脚手板搭接时不得小于10厘米，对头接时应设双排小横杆，间距不大于10厘米，在拐弯处脚手板应交叉搭接。</w:t>
      </w:r>
    </w:p>
    <w:p w14:paraId="2DDBDE61">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lang w:val="en-US" w:eastAsia="zh-CN"/>
        </w:rPr>
        <w:t>20</w:t>
      </w:r>
      <w:r>
        <w:rPr>
          <w:rFonts w:hint="eastAsia" w:ascii="宋体" w:hAnsi="宋体"/>
          <w:sz w:val="21"/>
          <w:szCs w:val="21"/>
          <w:highlight w:val="none"/>
        </w:rPr>
        <w:t>、翻脚</w:t>
      </w:r>
      <w:r>
        <w:rPr>
          <w:rFonts w:hint="eastAsia" w:ascii="仿宋_GB2312"/>
          <w:sz w:val="21"/>
          <w:szCs w:val="21"/>
          <w:highlight w:val="none"/>
        </w:rPr>
        <w:t>手板应两人由里往外按顺序进行，在铺第一块或翻到最后一块脚手板时，必须挂牢安全带。</w:t>
      </w:r>
    </w:p>
    <w:p w14:paraId="16C3DBB3">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宋体" w:hAnsi="宋体"/>
          <w:sz w:val="21"/>
          <w:szCs w:val="21"/>
          <w:highlight w:val="none"/>
          <w:lang w:val="en-US" w:eastAsia="zh-CN"/>
        </w:rPr>
        <w:t>21</w:t>
      </w:r>
      <w:r>
        <w:rPr>
          <w:rFonts w:hint="eastAsia" w:ascii="宋体" w:hAnsi="宋体"/>
          <w:sz w:val="21"/>
          <w:szCs w:val="21"/>
          <w:highlight w:val="none"/>
        </w:rPr>
        <w:t>、脚手架、井架等特殊架子搭设、安装完毕，必须经施工负责人、安全人员、使用班组共同验收合格后，方准使用。在拆除脚手架时，周围应设围栏或警戒标志，并设专人看管</w:t>
      </w:r>
      <w:r>
        <w:rPr>
          <w:rFonts w:hint="eastAsia" w:ascii="仿宋_GB2312"/>
          <w:sz w:val="21"/>
          <w:szCs w:val="21"/>
          <w:highlight w:val="none"/>
        </w:rPr>
        <w:t>，拆除顺序由上而下，一步一清，不准上下同时作业。</w:t>
      </w:r>
    </w:p>
    <w:p w14:paraId="7DAE431D">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宋体" w:hAnsi="宋体"/>
          <w:sz w:val="21"/>
          <w:szCs w:val="21"/>
          <w:highlight w:val="none"/>
        </w:rPr>
        <w:t>2</w:t>
      </w:r>
      <w:r>
        <w:rPr>
          <w:rFonts w:hint="eastAsia" w:ascii="宋体" w:hAnsi="宋体"/>
          <w:sz w:val="21"/>
          <w:szCs w:val="21"/>
          <w:highlight w:val="none"/>
          <w:lang w:val="en-US" w:eastAsia="zh-CN"/>
        </w:rPr>
        <w:t>2</w:t>
      </w:r>
      <w:r>
        <w:rPr>
          <w:rFonts w:hint="eastAsia" w:ascii="宋体" w:hAnsi="宋体"/>
          <w:sz w:val="21"/>
          <w:szCs w:val="21"/>
          <w:highlight w:val="none"/>
        </w:rPr>
        <w:t>、安全帽、安全带、安全网要有符合国家标准的出厂合格证，并要定期检查，不符合要求的，严禁使用。</w:t>
      </w:r>
      <w:r>
        <w:rPr>
          <w:rFonts w:hint="eastAsia" w:ascii="宋体" w:hAnsi="宋体"/>
          <w:sz w:val="21"/>
          <w:szCs w:val="21"/>
          <w:highlight w:val="none"/>
        </w:rPr>
        <w:br w:type="textWrapping"/>
      </w:r>
      <w:r>
        <w:rPr>
          <w:rFonts w:ascii="宋体" w:hAnsi="宋体"/>
          <w:sz w:val="21"/>
          <w:szCs w:val="21"/>
          <w:highlight w:val="none"/>
        </w:rPr>
        <w:t xml:space="preserve">    </w:t>
      </w:r>
      <w:r>
        <w:rPr>
          <w:rFonts w:hint="eastAsia" w:ascii="宋体" w:hAnsi="宋体"/>
          <w:sz w:val="21"/>
          <w:szCs w:val="21"/>
          <w:highlight w:val="none"/>
        </w:rPr>
        <w:t>2</w:t>
      </w:r>
      <w:r>
        <w:rPr>
          <w:rFonts w:hint="eastAsia" w:ascii="宋体" w:hAnsi="宋体"/>
          <w:sz w:val="21"/>
          <w:szCs w:val="21"/>
          <w:highlight w:val="none"/>
          <w:lang w:val="en-US" w:eastAsia="zh-CN"/>
        </w:rPr>
        <w:t>3</w:t>
      </w:r>
      <w:r>
        <w:rPr>
          <w:rFonts w:hint="eastAsia" w:ascii="宋体" w:hAnsi="宋体"/>
          <w:sz w:val="21"/>
          <w:szCs w:val="21"/>
          <w:highlight w:val="none"/>
        </w:rPr>
        <w:t>、钢管脚手不得使用有严重锈蚀、弯曲、压扁或裂纹的钢管；扣件要有出厂合格证明，有脆裂、变形、滑丝等的劣质品，禁止使用。</w:t>
      </w:r>
    </w:p>
    <w:p w14:paraId="17E28925">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宋体" w:hAnsi="宋体"/>
          <w:sz w:val="21"/>
          <w:szCs w:val="21"/>
          <w:highlight w:val="none"/>
        </w:rPr>
        <w:t>2</w:t>
      </w:r>
      <w:r>
        <w:rPr>
          <w:rFonts w:hint="eastAsia" w:ascii="宋体" w:hAnsi="宋体"/>
          <w:sz w:val="21"/>
          <w:szCs w:val="21"/>
          <w:highlight w:val="none"/>
          <w:lang w:val="en-US" w:eastAsia="zh-CN"/>
        </w:rPr>
        <w:t>4</w:t>
      </w:r>
      <w:r>
        <w:rPr>
          <w:rFonts w:hint="eastAsia" w:ascii="宋体" w:hAnsi="宋体"/>
          <w:sz w:val="21"/>
          <w:szCs w:val="21"/>
          <w:highlight w:val="none"/>
        </w:rPr>
        <w:t>、砌墙高度超过4米时，必须在墙外搭设能承受160公斤荷重的安全网或防护挡板。多层建筑应在二层和每隔四层设一道固定安全网同时再设一道随施工高度提升的安全网。网应外高里低，网与网之间须拼接严密，网内杂物要随时</w:t>
      </w:r>
      <w:r>
        <w:rPr>
          <w:rFonts w:hint="eastAsia" w:ascii="仿宋_GB2312"/>
          <w:sz w:val="21"/>
          <w:szCs w:val="21"/>
          <w:highlight w:val="none"/>
        </w:rPr>
        <w:t>清扫。</w:t>
      </w:r>
    </w:p>
    <w:p w14:paraId="58CD248F">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2</w:t>
      </w:r>
      <w:r>
        <w:rPr>
          <w:rFonts w:hint="eastAsia" w:ascii="宋体" w:hAnsi="宋体"/>
          <w:sz w:val="21"/>
          <w:szCs w:val="21"/>
          <w:highlight w:val="none"/>
          <w:lang w:val="en-US" w:eastAsia="zh-CN"/>
        </w:rPr>
        <w:t>5</w:t>
      </w:r>
      <w:r>
        <w:rPr>
          <w:rFonts w:hint="eastAsia" w:ascii="宋体" w:hAnsi="宋体"/>
          <w:sz w:val="21"/>
          <w:szCs w:val="21"/>
          <w:highlight w:val="none"/>
        </w:rPr>
        <w:t>、拆除脚手架和物料提升机应明确专人负责指挥，拆除前必须进行全面检查架体有无其他牵拉物，提升机与脚手架、建筑物连结情况等；拆除时指定专人警戒；拆除必须按搭设的逆顺序逐层自上而下进行，做到一步一清。严禁上下同时拆除。</w:t>
      </w:r>
    </w:p>
    <w:p w14:paraId="5CF92C9F">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2</w:t>
      </w:r>
      <w:r>
        <w:rPr>
          <w:rFonts w:hint="eastAsia" w:ascii="宋体" w:hAnsi="宋体"/>
          <w:sz w:val="21"/>
          <w:szCs w:val="21"/>
          <w:highlight w:val="none"/>
          <w:lang w:val="en-US" w:eastAsia="zh-CN"/>
        </w:rPr>
        <w:t>6</w:t>
      </w:r>
      <w:r>
        <w:rPr>
          <w:rFonts w:hint="eastAsia" w:ascii="宋体" w:hAnsi="宋体"/>
          <w:sz w:val="21"/>
          <w:szCs w:val="21"/>
          <w:highlight w:val="none"/>
        </w:rPr>
        <w:t>、拆下的钢管、脚手片、扣件、密目型安全网等物体，应向下传递或用绳吊下，禁止往下抛拂。</w:t>
      </w:r>
    </w:p>
    <w:p w14:paraId="06052DE6">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2</w:t>
      </w:r>
      <w:r>
        <w:rPr>
          <w:rFonts w:hint="eastAsia" w:ascii="宋体" w:hAnsi="宋体"/>
          <w:sz w:val="21"/>
          <w:szCs w:val="21"/>
          <w:highlight w:val="none"/>
          <w:lang w:val="en-US" w:eastAsia="zh-CN"/>
        </w:rPr>
        <w:t>7</w:t>
      </w:r>
      <w:r>
        <w:rPr>
          <w:rFonts w:hint="eastAsia" w:ascii="宋体" w:hAnsi="宋体"/>
          <w:sz w:val="21"/>
          <w:szCs w:val="21"/>
          <w:highlight w:val="none"/>
        </w:rPr>
        <w:t>、钢管、脚手片、扣件、安全网等分门别类，整齐堆放，挂设标牌。</w:t>
      </w:r>
    </w:p>
    <w:p w14:paraId="463E0503">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2</w:t>
      </w:r>
      <w:r>
        <w:rPr>
          <w:rFonts w:hint="eastAsia" w:ascii="宋体" w:hAnsi="宋体"/>
          <w:sz w:val="21"/>
          <w:szCs w:val="21"/>
          <w:highlight w:val="none"/>
          <w:lang w:val="en-US" w:eastAsia="zh-CN"/>
        </w:rPr>
        <w:t>8</w:t>
      </w:r>
      <w:r>
        <w:rPr>
          <w:rFonts w:hint="eastAsia" w:ascii="宋体" w:hAnsi="宋体"/>
          <w:sz w:val="21"/>
          <w:szCs w:val="21"/>
          <w:highlight w:val="none"/>
        </w:rPr>
        <w:t>、脚手架搭设后，必须申请验收。</w:t>
      </w:r>
    </w:p>
    <w:p w14:paraId="35AEE3EA">
      <w:pPr>
        <w:pStyle w:val="15"/>
        <w:pageBreakBefore w:val="0"/>
        <w:shd w:val="clear"/>
        <w:kinsoku/>
        <w:wordWrap/>
        <w:overflowPunct/>
        <w:autoSpaceDE/>
        <w:autoSpaceDN/>
        <w:bidi w:val="0"/>
        <w:adjustRightInd w:val="0"/>
        <w:snapToGrid w:val="0"/>
        <w:spacing w:line="360" w:lineRule="auto"/>
        <w:ind w:firstLine="420" w:firstLineChars="200"/>
        <w:jc w:val="center"/>
        <w:textAlignment w:val="auto"/>
        <w:rPr>
          <w:rFonts w:ascii="宋体" w:hAnsi="宋体" w:cs="宋体"/>
          <w:b/>
          <w:bCs/>
          <w:sz w:val="21"/>
          <w:szCs w:val="21"/>
          <w:highlight w:val="none"/>
        </w:rPr>
      </w:pPr>
      <w:bookmarkStart w:id="29" w:name="_Toc11390"/>
      <w:bookmarkStart w:id="30" w:name="_Toc20544"/>
      <w:bookmarkStart w:id="31" w:name="_Toc25520"/>
      <w:r>
        <w:rPr>
          <w:rFonts w:hint="eastAsia" w:ascii="宋体" w:hAnsi="宋体" w:cs="宋体"/>
          <w:b/>
          <w:bCs/>
          <w:sz w:val="21"/>
          <w:szCs w:val="21"/>
          <w:highlight w:val="none"/>
        </w:rPr>
        <w:t>第四节 起重工安全操作规程</w:t>
      </w:r>
      <w:bookmarkEnd w:id="29"/>
      <w:bookmarkEnd w:id="30"/>
      <w:bookmarkEnd w:id="31"/>
    </w:p>
    <w:p w14:paraId="7BB70086">
      <w:pPr>
        <w:pageBreakBefore w:val="0"/>
        <w:shd w:val="clear"/>
        <w:kinsoku/>
        <w:wordWrap/>
        <w:overflowPunct/>
        <w:autoSpaceDE/>
        <w:autoSpaceDN/>
        <w:bidi w:val="0"/>
        <w:adjustRightInd w:val="0"/>
        <w:snapToGrid w:val="0"/>
        <w:spacing w:line="360" w:lineRule="auto"/>
        <w:ind w:firstLine="420" w:firstLineChars="200"/>
        <w:jc w:val="left"/>
        <w:textAlignment w:val="auto"/>
        <w:rPr>
          <w:rFonts w:ascii="宋体" w:hAnsi="宋体"/>
          <w:color w:val="000000"/>
          <w:sz w:val="21"/>
          <w:szCs w:val="21"/>
          <w:highlight w:val="none"/>
        </w:rPr>
      </w:pPr>
      <w:r>
        <w:rPr>
          <w:rFonts w:hint="eastAsia" w:ascii="宋体" w:hAnsi="宋体"/>
          <w:color w:val="000000"/>
          <w:sz w:val="21"/>
          <w:szCs w:val="21"/>
          <w:highlight w:val="none"/>
        </w:rPr>
        <w:t>1、所有人员禁止在起重臂和吊起的重物下面停留或行走。</w:t>
      </w:r>
    </w:p>
    <w:p w14:paraId="0F63662D">
      <w:pPr>
        <w:pageBreakBefore w:val="0"/>
        <w:shd w:val="clear"/>
        <w:kinsoku/>
        <w:wordWrap/>
        <w:overflowPunct/>
        <w:autoSpaceDE/>
        <w:autoSpaceDN/>
        <w:bidi w:val="0"/>
        <w:adjustRightInd w:val="0"/>
        <w:snapToGrid w:val="0"/>
        <w:spacing w:line="360" w:lineRule="auto"/>
        <w:ind w:firstLine="420" w:firstLineChars="200"/>
        <w:jc w:val="left"/>
        <w:textAlignment w:val="auto"/>
        <w:rPr>
          <w:rFonts w:ascii="宋体" w:hAnsi="宋体"/>
          <w:color w:val="000000"/>
          <w:sz w:val="21"/>
          <w:szCs w:val="21"/>
          <w:highlight w:val="none"/>
        </w:rPr>
      </w:pPr>
      <w:r>
        <w:rPr>
          <w:rFonts w:hint="eastAsia" w:ascii="宋体" w:hAnsi="宋体"/>
          <w:color w:val="000000"/>
          <w:sz w:val="21"/>
          <w:szCs w:val="21"/>
          <w:highlight w:val="none"/>
        </w:rPr>
        <w:t>2、使用卡环应使用长度方向受力，抽销卡环应预防销子滑脱，有缺陷的卡环严禁使用。</w:t>
      </w:r>
    </w:p>
    <w:p w14:paraId="2ED3FDEC">
      <w:pPr>
        <w:pageBreakBefore w:val="0"/>
        <w:shd w:val="clear"/>
        <w:kinsoku/>
        <w:wordWrap/>
        <w:overflowPunct/>
        <w:autoSpaceDE/>
        <w:autoSpaceDN/>
        <w:bidi w:val="0"/>
        <w:adjustRightInd w:val="0"/>
        <w:snapToGrid w:val="0"/>
        <w:spacing w:line="360" w:lineRule="auto"/>
        <w:ind w:firstLine="420" w:firstLineChars="200"/>
        <w:jc w:val="left"/>
        <w:textAlignment w:val="auto"/>
        <w:rPr>
          <w:rFonts w:ascii="宋体" w:hAnsi="宋体"/>
          <w:color w:val="000000"/>
          <w:sz w:val="21"/>
          <w:szCs w:val="21"/>
          <w:highlight w:val="none"/>
        </w:rPr>
      </w:pPr>
      <w:r>
        <w:rPr>
          <w:rFonts w:hint="eastAsia" w:ascii="宋体" w:hAnsi="宋体"/>
          <w:color w:val="000000"/>
          <w:sz w:val="21"/>
          <w:szCs w:val="21"/>
          <w:highlight w:val="none"/>
        </w:rPr>
        <w:t>3、起重物件应使用交互捻制的钢丝绳。钢丝绳如有扭结、变形、断丝、锈蚀等异常现象，应及时降低使用标准或报废。</w:t>
      </w:r>
    </w:p>
    <w:p w14:paraId="737B9C03">
      <w:pPr>
        <w:pageBreakBefore w:val="0"/>
        <w:shd w:val="clear"/>
        <w:kinsoku/>
        <w:wordWrap/>
        <w:overflowPunct/>
        <w:autoSpaceDE/>
        <w:autoSpaceDN/>
        <w:bidi w:val="0"/>
        <w:adjustRightInd w:val="0"/>
        <w:snapToGrid w:val="0"/>
        <w:spacing w:line="360" w:lineRule="auto"/>
        <w:ind w:firstLine="420" w:firstLineChars="200"/>
        <w:jc w:val="left"/>
        <w:textAlignment w:val="auto"/>
        <w:rPr>
          <w:rFonts w:ascii="宋体" w:hAnsi="宋体"/>
          <w:color w:val="000000"/>
          <w:sz w:val="21"/>
          <w:szCs w:val="21"/>
          <w:highlight w:val="none"/>
        </w:rPr>
      </w:pPr>
      <w:r>
        <w:rPr>
          <w:rFonts w:hint="eastAsia" w:ascii="宋体" w:hAnsi="宋体"/>
          <w:color w:val="000000"/>
          <w:sz w:val="21"/>
          <w:szCs w:val="21"/>
          <w:highlight w:val="none"/>
        </w:rPr>
        <w:t>4、使用三根以上绳扣吊装时，绳扣间的夹角如大于100度，应采取防止滑钩等措施。</w:t>
      </w:r>
    </w:p>
    <w:p w14:paraId="1E9AB50A">
      <w:pPr>
        <w:pageBreakBefore w:val="0"/>
        <w:shd w:val="clear"/>
        <w:kinsoku/>
        <w:wordWrap/>
        <w:overflowPunct/>
        <w:autoSpaceDE/>
        <w:autoSpaceDN/>
        <w:bidi w:val="0"/>
        <w:adjustRightInd w:val="0"/>
        <w:snapToGrid w:val="0"/>
        <w:spacing w:line="360" w:lineRule="auto"/>
        <w:ind w:firstLine="420" w:firstLineChars="200"/>
        <w:jc w:val="left"/>
        <w:textAlignment w:val="auto"/>
        <w:rPr>
          <w:rFonts w:ascii="宋体" w:hAnsi="宋体"/>
          <w:color w:val="000000"/>
          <w:sz w:val="21"/>
          <w:szCs w:val="21"/>
          <w:highlight w:val="none"/>
        </w:rPr>
      </w:pPr>
      <w:r>
        <w:rPr>
          <w:rFonts w:hint="eastAsia" w:ascii="宋体" w:hAnsi="宋体"/>
          <w:color w:val="000000"/>
          <w:sz w:val="21"/>
          <w:szCs w:val="21"/>
          <w:highlight w:val="none"/>
        </w:rPr>
        <w:t>5、起吊物件，应合理设置溜绳。</w:t>
      </w:r>
    </w:p>
    <w:p w14:paraId="4C97C4B0">
      <w:pPr>
        <w:pageBreakBefore w:val="0"/>
        <w:shd w:val="clear"/>
        <w:kinsoku/>
        <w:wordWrap/>
        <w:overflowPunct/>
        <w:autoSpaceDE/>
        <w:autoSpaceDN/>
        <w:bidi w:val="0"/>
        <w:adjustRightInd w:val="0"/>
        <w:snapToGrid w:val="0"/>
        <w:spacing w:line="360" w:lineRule="auto"/>
        <w:ind w:firstLine="420" w:firstLineChars="200"/>
        <w:jc w:val="left"/>
        <w:textAlignment w:val="auto"/>
        <w:rPr>
          <w:rFonts w:ascii="宋体" w:hAnsi="宋体"/>
          <w:color w:val="000000"/>
          <w:sz w:val="21"/>
          <w:szCs w:val="21"/>
          <w:highlight w:val="none"/>
        </w:rPr>
      </w:pPr>
      <w:r>
        <w:rPr>
          <w:rFonts w:hint="eastAsia" w:ascii="宋体" w:hAnsi="宋体"/>
          <w:color w:val="000000"/>
          <w:sz w:val="21"/>
          <w:szCs w:val="21"/>
          <w:highlight w:val="none"/>
        </w:rPr>
        <w:t>6、司机必须听从指挥人员指挥，当指挥信号不明时。司机应发出“重复”信号询问，明确指挥意图后，方可开车。</w:t>
      </w:r>
    </w:p>
    <w:p w14:paraId="5AF456FE">
      <w:pPr>
        <w:pageBreakBefore w:val="0"/>
        <w:shd w:val="clear"/>
        <w:kinsoku/>
        <w:wordWrap/>
        <w:overflowPunct/>
        <w:autoSpaceDE/>
        <w:autoSpaceDN/>
        <w:bidi w:val="0"/>
        <w:adjustRightInd w:val="0"/>
        <w:snapToGrid w:val="0"/>
        <w:spacing w:line="360" w:lineRule="auto"/>
        <w:ind w:firstLine="420" w:firstLineChars="200"/>
        <w:jc w:val="left"/>
        <w:textAlignment w:val="auto"/>
        <w:rPr>
          <w:rFonts w:ascii="宋体" w:hAnsi="宋体"/>
          <w:color w:val="000000"/>
          <w:sz w:val="21"/>
          <w:szCs w:val="21"/>
          <w:highlight w:val="none"/>
        </w:rPr>
      </w:pPr>
      <w:r>
        <w:rPr>
          <w:rFonts w:hint="eastAsia" w:ascii="宋体" w:hAnsi="宋体"/>
          <w:color w:val="000000"/>
          <w:sz w:val="21"/>
          <w:szCs w:val="21"/>
          <w:highlight w:val="none"/>
        </w:rPr>
        <w:t>7、风力五级以上时停止吊装。</w:t>
      </w:r>
    </w:p>
    <w:p w14:paraId="0DB33554">
      <w:pPr>
        <w:pageBreakBefore w:val="0"/>
        <w:shd w:val="clear"/>
        <w:kinsoku/>
        <w:wordWrap/>
        <w:overflowPunct/>
        <w:autoSpaceDE/>
        <w:autoSpaceDN/>
        <w:bidi w:val="0"/>
        <w:adjustRightInd w:val="0"/>
        <w:snapToGrid w:val="0"/>
        <w:spacing w:line="360" w:lineRule="auto"/>
        <w:ind w:firstLine="420" w:firstLineChars="200"/>
        <w:jc w:val="left"/>
        <w:textAlignment w:val="auto"/>
        <w:rPr>
          <w:rFonts w:ascii="宋体" w:hAnsi="宋体"/>
          <w:color w:val="000000"/>
          <w:sz w:val="21"/>
          <w:szCs w:val="21"/>
          <w:highlight w:val="none"/>
        </w:rPr>
      </w:pPr>
      <w:r>
        <w:rPr>
          <w:rFonts w:hint="eastAsia" w:ascii="宋体" w:hAnsi="宋体"/>
          <w:color w:val="000000"/>
          <w:sz w:val="21"/>
          <w:szCs w:val="21"/>
          <w:highlight w:val="none"/>
        </w:rPr>
        <w:t>8、对起重机司机和指挥人员，必须由有关部门进行标准的安全技术培训。经考试合格，取得合格证后方能操作指挥。</w:t>
      </w:r>
    </w:p>
    <w:p w14:paraId="24490838">
      <w:pPr>
        <w:pStyle w:val="15"/>
        <w:pageBreakBefore w:val="0"/>
        <w:shd w:val="clear"/>
        <w:kinsoku/>
        <w:wordWrap/>
        <w:overflowPunct/>
        <w:autoSpaceDE/>
        <w:autoSpaceDN/>
        <w:bidi w:val="0"/>
        <w:adjustRightInd w:val="0"/>
        <w:snapToGrid w:val="0"/>
        <w:spacing w:line="360" w:lineRule="auto"/>
        <w:ind w:firstLine="420" w:firstLineChars="200"/>
        <w:jc w:val="center"/>
        <w:textAlignment w:val="auto"/>
        <w:rPr>
          <w:rFonts w:ascii="黑体" w:eastAsia="黑体"/>
          <w:bCs/>
          <w:color w:val="000000"/>
          <w:sz w:val="21"/>
          <w:szCs w:val="21"/>
          <w:highlight w:val="none"/>
        </w:rPr>
      </w:pPr>
      <w:bookmarkStart w:id="32" w:name="_Toc13034"/>
      <w:bookmarkStart w:id="33" w:name="_Toc15916"/>
      <w:bookmarkStart w:id="34" w:name="_Toc13903"/>
      <w:r>
        <w:rPr>
          <w:rFonts w:hint="eastAsia" w:ascii="宋体" w:hAnsi="宋体" w:cs="宋体"/>
          <w:b/>
          <w:bCs/>
          <w:sz w:val="21"/>
          <w:szCs w:val="21"/>
          <w:highlight w:val="none"/>
        </w:rPr>
        <w:t>第五节 木工安全操作规程</w:t>
      </w:r>
      <w:bookmarkEnd w:id="32"/>
      <w:bookmarkEnd w:id="33"/>
      <w:bookmarkEnd w:id="34"/>
    </w:p>
    <w:p w14:paraId="62D95C1C">
      <w:pPr>
        <w:pageBreakBefore w:val="0"/>
        <w:shd w:val="clear"/>
        <w:kinsoku/>
        <w:wordWrap/>
        <w:overflowPunct/>
        <w:autoSpaceDE/>
        <w:autoSpaceDN/>
        <w:bidi w:val="0"/>
        <w:adjustRightInd w:val="0"/>
        <w:snapToGrid w:val="0"/>
        <w:spacing w:line="360" w:lineRule="auto"/>
        <w:ind w:firstLine="420" w:firstLineChars="200"/>
        <w:jc w:val="left"/>
        <w:textAlignment w:val="auto"/>
        <w:rPr>
          <w:rFonts w:ascii="仿宋_GB2312"/>
          <w:sz w:val="21"/>
          <w:szCs w:val="21"/>
          <w:highlight w:val="none"/>
        </w:rPr>
      </w:pPr>
      <w:r>
        <w:rPr>
          <w:rFonts w:hint="eastAsia" w:ascii="宋体" w:hAnsi="宋体"/>
          <w:color w:val="000000"/>
          <w:sz w:val="21"/>
          <w:szCs w:val="21"/>
          <w:highlight w:val="none"/>
        </w:rPr>
        <w:t>1、模板支撑不得使用腐朽、扭裂、劈裂的材料。顶撑要垂直，底端平整坚实，并加垫木。木楔要钉牢，并用横顺拉杆和剪刀撑拉牢。</w:t>
      </w:r>
      <w:r>
        <w:rPr>
          <w:rFonts w:hint="eastAsia" w:ascii="宋体" w:hAnsi="宋体"/>
          <w:color w:val="000000"/>
          <w:sz w:val="21"/>
          <w:szCs w:val="21"/>
          <w:highlight w:val="none"/>
        </w:rPr>
        <w:br w:type="textWrapping"/>
      </w:r>
      <w:r>
        <w:rPr>
          <w:rFonts w:hint="eastAsia" w:ascii="宋体" w:hAnsi="宋体"/>
          <w:color w:val="000000"/>
          <w:sz w:val="21"/>
          <w:szCs w:val="21"/>
          <w:highlight w:val="none"/>
        </w:rPr>
        <w:t xml:space="preserve">    2、采用行架支模应严格检查，发现严重变形、螺栓松动等应及时修复。</w:t>
      </w:r>
      <w:r>
        <w:rPr>
          <w:rFonts w:hint="eastAsia" w:ascii="宋体" w:hAnsi="宋体"/>
          <w:color w:val="000000"/>
          <w:sz w:val="21"/>
          <w:szCs w:val="21"/>
          <w:highlight w:val="none"/>
        </w:rPr>
        <w:br w:type="textWrapping"/>
      </w:r>
      <w:r>
        <w:rPr>
          <w:rFonts w:hint="eastAsia" w:ascii="宋体" w:hAnsi="宋体"/>
          <w:color w:val="000000"/>
          <w:sz w:val="21"/>
          <w:szCs w:val="21"/>
          <w:highlight w:val="none"/>
        </w:rPr>
        <w:t xml:space="preserve">    3、支模应按工序进行，模板没有固定前，不得进行下道工序。禁止利用拉杆、支撑攀登上下。</w:t>
      </w:r>
      <w:r>
        <w:rPr>
          <w:rFonts w:hint="eastAsia" w:ascii="宋体" w:hAnsi="宋体"/>
          <w:color w:val="000000"/>
          <w:sz w:val="21"/>
          <w:szCs w:val="21"/>
          <w:highlight w:val="none"/>
        </w:rPr>
        <w:br w:type="textWrapping"/>
      </w:r>
      <w:r>
        <w:rPr>
          <w:rFonts w:hint="eastAsia" w:ascii="宋体" w:hAnsi="宋体"/>
          <w:color w:val="000000"/>
          <w:sz w:val="21"/>
          <w:szCs w:val="21"/>
          <w:highlight w:val="none"/>
        </w:rPr>
        <w:t xml:space="preserve">    4、支设4米以上的立柱模板，四周必须顶牢，操作时要搭设工作台，不足4米的，可使用马凳操作。</w:t>
      </w:r>
      <w:r>
        <w:rPr>
          <w:rFonts w:hint="eastAsia" w:ascii="宋体" w:hAnsi="宋体"/>
          <w:color w:val="000000"/>
          <w:sz w:val="21"/>
          <w:szCs w:val="21"/>
          <w:highlight w:val="none"/>
        </w:rPr>
        <w:br w:type="textWrapping"/>
      </w:r>
      <w:r>
        <w:rPr>
          <w:rFonts w:hint="eastAsia" w:ascii="宋体" w:hAnsi="宋体"/>
          <w:color w:val="000000"/>
          <w:sz w:val="21"/>
          <w:szCs w:val="21"/>
          <w:highlight w:val="none"/>
        </w:rPr>
        <w:t xml:space="preserve">    5、支设独立梁、柱模应设临时工作台，不得站在柱模上操作和在梁模上行走。</w:t>
      </w:r>
      <w:r>
        <w:rPr>
          <w:rFonts w:hint="eastAsia" w:ascii="宋体" w:hAnsi="宋体"/>
          <w:color w:val="000000"/>
          <w:sz w:val="21"/>
          <w:szCs w:val="21"/>
          <w:highlight w:val="none"/>
        </w:rPr>
        <w:br w:type="textWrapping"/>
      </w:r>
      <w:r>
        <w:rPr>
          <w:rFonts w:hint="eastAsia" w:ascii="宋体" w:hAnsi="宋体"/>
          <w:color w:val="000000"/>
          <w:sz w:val="21"/>
          <w:szCs w:val="21"/>
          <w:highlight w:val="none"/>
        </w:rPr>
        <w:t xml:space="preserve">    6、拆除模板应经施工技术人员同意。操作时应按顺序分段进行，严禁猛撬、硬砸或大面积撬落和拉倒。完工前，不得留下松动和悬挂的模板，拆下的模板应及时运送到指定地点集中堆放。</w:t>
      </w:r>
      <w:r>
        <w:rPr>
          <w:rFonts w:hint="eastAsia" w:ascii="宋体" w:hAnsi="宋体"/>
          <w:color w:val="000000"/>
          <w:sz w:val="21"/>
          <w:szCs w:val="21"/>
          <w:highlight w:val="none"/>
        </w:rPr>
        <w:br w:type="textWrapping"/>
      </w:r>
      <w:r>
        <w:rPr>
          <w:rFonts w:hint="eastAsia" w:ascii="宋体" w:hAnsi="宋体"/>
          <w:color w:val="000000"/>
          <w:sz w:val="21"/>
          <w:szCs w:val="21"/>
          <w:highlight w:val="none"/>
        </w:rPr>
        <w:t xml:space="preserve">    7、拆除薄腹梁、吊车梁、行架等预制构件模板，应随拆随加顶撑支牢。</w:t>
      </w:r>
      <w:r>
        <w:rPr>
          <w:rFonts w:hint="eastAsia" w:ascii="宋体" w:hAnsi="宋体"/>
          <w:color w:val="000000"/>
          <w:sz w:val="21"/>
          <w:szCs w:val="21"/>
          <w:highlight w:val="none"/>
        </w:rPr>
        <w:br w:type="textWrapping"/>
      </w:r>
      <w:r>
        <w:rPr>
          <w:rFonts w:hint="eastAsia" w:ascii="宋体" w:hAnsi="宋体"/>
          <w:color w:val="000000"/>
          <w:sz w:val="21"/>
          <w:szCs w:val="21"/>
          <w:highlight w:val="none"/>
        </w:rPr>
        <w:t xml:space="preserve">    8、在深度大于2米的基坑边操作，应有防护网、护身栏等防护措施。</w:t>
      </w:r>
    </w:p>
    <w:p w14:paraId="3C413D1D">
      <w:pPr>
        <w:pStyle w:val="15"/>
        <w:pageBreakBefore w:val="0"/>
        <w:shd w:val="clear"/>
        <w:kinsoku/>
        <w:wordWrap/>
        <w:overflowPunct/>
        <w:autoSpaceDE/>
        <w:autoSpaceDN/>
        <w:bidi w:val="0"/>
        <w:adjustRightInd w:val="0"/>
        <w:snapToGrid w:val="0"/>
        <w:spacing w:line="360" w:lineRule="auto"/>
        <w:ind w:firstLine="420" w:firstLineChars="200"/>
        <w:jc w:val="center"/>
        <w:textAlignment w:val="auto"/>
        <w:rPr>
          <w:rFonts w:ascii="宋体" w:hAnsi="宋体" w:cs="宋体"/>
          <w:b/>
          <w:bCs/>
          <w:sz w:val="21"/>
          <w:szCs w:val="21"/>
          <w:highlight w:val="none"/>
        </w:rPr>
      </w:pPr>
      <w:bookmarkStart w:id="35" w:name="_Toc8955"/>
      <w:bookmarkStart w:id="36" w:name="_Toc20452"/>
      <w:bookmarkStart w:id="37" w:name="_Toc8670"/>
      <w:r>
        <w:rPr>
          <w:rFonts w:hint="eastAsia" w:ascii="宋体" w:hAnsi="宋体" w:cs="宋体"/>
          <w:b/>
          <w:bCs/>
          <w:sz w:val="21"/>
          <w:szCs w:val="21"/>
          <w:highlight w:val="none"/>
        </w:rPr>
        <w:t>第六节 钢筋工安全操作规程</w:t>
      </w:r>
      <w:bookmarkEnd w:id="35"/>
      <w:bookmarkEnd w:id="36"/>
      <w:bookmarkEnd w:id="37"/>
    </w:p>
    <w:p w14:paraId="334FDE94">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color w:val="000000"/>
          <w:sz w:val="21"/>
          <w:szCs w:val="21"/>
          <w:highlight w:val="none"/>
        </w:rPr>
      </w:pPr>
      <w:r>
        <w:rPr>
          <w:rFonts w:hint="eastAsia" w:ascii="宋体" w:hAnsi="宋体"/>
          <w:color w:val="000000"/>
          <w:sz w:val="21"/>
          <w:szCs w:val="21"/>
          <w:highlight w:val="none"/>
        </w:rPr>
        <w:t>1、钢材、半成品等应按规格、品种分别堆放整齐，制作场地要平整，工作台要稳固，照明灯具必须加网罩。</w:t>
      </w:r>
      <w:r>
        <w:rPr>
          <w:rFonts w:hint="eastAsia" w:ascii="宋体" w:hAnsi="宋体"/>
          <w:color w:val="000000"/>
          <w:sz w:val="21"/>
          <w:szCs w:val="21"/>
          <w:highlight w:val="none"/>
        </w:rPr>
        <w:br w:type="textWrapping"/>
      </w:r>
      <w:r>
        <w:rPr>
          <w:rFonts w:hint="eastAsia" w:ascii="宋体" w:hAnsi="宋体"/>
          <w:color w:val="000000"/>
          <w:sz w:val="21"/>
          <w:szCs w:val="21"/>
          <w:highlight w:val="none"/>
        </w:rPr>
        <w:t xml:space="preserve">    2、拉直钢筋时，卡头要卡牢，地锚要结实牢固，拉筋沿线2米区域内禁止行人。人工绞磨拉直，不准用胸、肚接触推杠，应缓慢松解，不得一次松开。</w:t>
      </w:r>
      <w:r>
        <w:rPr>
          <w:rFonts w:hint="eastAsia" w:ascii="宋体" w:hAnsi="宋体"/>
          <w:color w:val="000000"/>
          <w:sz w:val="21"/>
          <w:szCs w:val="21"/>
          <w:highlight w:val="none"/>
        </w:rPr>
        <w:br w:type="textWrapping"/>
      </w:r>
      <w:r>
        <w:rPr>
          <w:rFonts w:hint="eastAsia" w:ascii="宋体" w:hAnsi="宋体"/>
          <w:color w:val="000000"/>
          <w:sz w:val="21"/>
          <w:szCs w:val="21"/>
          <w:highlight w:val="none"/>
        </w:rPr>
        <w:t xml:space="preserve">    3、展开盘圆钢筋要一端卡牢，防止回弹，切断时要先用脚踩紧。</w:t>
      </w:r>
      <w:r>
        <w:rPr>
          <w:rFonts w:hint="eastAsia" w:ascii="宋体" w:hAnsi="宋体"/>
          <w:color w:val="000000"/>
          <w:sz w:val="21"/>
          <w:szCs w:val="21"/>
          <w:highlight w:val="none"/>
        </w:rPr>
        <w:br w:type="textWrapping"/>
      </w:r>
      <w:r>
        <w:rPr>
          <w:rFonts w:hint="eastAsia" w:ascii="宋体" w:hAnsi="宋体"/>
          <w:color w:val="000000"/>
          <w:sz w:val="21"/>
          <w:szCs w:val="21"/>
          <w:highlight w:val="none"/>
        </w:rPr>
        <w:t xml:space="preserve">    4、多人合运钢筋，起、落、转、停等动作要一致，人工上下传送不得在同一垂直线上。钢筋堆放要分散、稳当，防止倾倒和塌落。 </w:t>
      </w:r>
      <w:r>
        <w:rPr>
          <w:rFonts w:hint="eastAsia" w:ascii="宋体" w:hAnsi="宋体"/>
          <w:color w:val="000000"/>
          <w:sz w:val="21"/>
          <w:szCs w:val="21"/>
          <w:highlight w:val="none"/>
        </w:rPr>
        <w:br w:type="textWrapping"/>
      </w:r>
      <w:r>
        <w:rPr>
          <w:rFonts w:hint="eastAsia" w:ascii="宋体" w:hAnsi="宋体"/>
          <w:color w:val="000000"/>
          <w:sz w:val="21"/>
          <w:szCs w:val="21"/>
          <w:highlight w:val="none"/>
        </w:rPr>
        <w:t xml:space="preserve">    5、在高空、深坑绑扎钢筋和安装骨架，须搭设脚手架和马道。</w:t>
      </w:r>
      <w:r>
        <w:rPr>
          <w:rFonts w:hint="eastAsia" w:ascii="宋体" w:hAnsi="宋体"/>
          <w:color w:val="000000"/>
          <w:sz w:val="21"/>
          <w:szCs w:val="21"/>
          <w:highlight w:val="none"/>
        </w:rPr>
        <w:br w:type="textWrapping"/>
      </w:r>
      <w:r>
        <w:rPr>
          <w:rFonts w:hint="eastAsia" w:ascii="宋体" w:hAnsi="宋体"/>
          <w:color w:val="000000"/>
          <w:sz w:val="21"/>
          <w:szCs w:val="21"/>
          <w:highlight w:val="none"/>
        </w:rPr>
        <w:t xml:space="preserve">    6、绑扎立柱、墙体钢筋时，不得站在钢筋骨架上和攀登骨架上下。</w:t>
      </w:r>
    </w:p>
    <w:p w14:paraId="7D2F5120">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hAnsi="_x000B__x000C_"/>
          <w:b/>
          <w:bCs/>
          <w:sz w:val="21"/>
          <w:szCs w:val="21"/>
          <w:highlight w:val="none"/>
        </w:rPr>
      </w:pPr>
      <w:r>
        <w:rPr>
          <w:rFonts w:hint="eastAsia" w:ascii="宋体" w:hAnsi="宋体"/>
          <w:color w:val="000000"/>
          <w:sz w:val="21"/>
          <w:szCs w:val="21"/>
          <w:highlight w:val="none"/>
        </w:rPr>
        <w:t>7</w:t>
      </w:r>
      <w:r>
        <w:rPr>
          <w:rFonts w:hint="eastAsia" w:ascii="宋体" w:hAnsi="宋体"/>
          <w:color w:val="000000"/>
          <w:sz w:val="21"/>
          <w:szCs w:val="21"/>
          <w:highlight w:val="none"/>
          <w:lang w:eastAsia="zh-CN"/>
        </w:rPr>
        <w:t>、</w:t>
      </w:r>
      <w:r>
        <w:rPr>
          <w:rFonts w:hint="eastAsia" w:ascii="宋体" w:hAnsi="宋体"/>
          <w:color w:val="000000"/>
          <w:sz w:val="21"/>
          <w:szCs w:val="21"/>
          <w:highlight w:val="none"/>
        </w:rPr>
        <w:t>绑扎基础钢筋时，应按施工设计规定摆放钢筋支架或马凳架起上部钢筋，不得任意减少支架或马凳。</w:t>
      </w:r>
      <w:r>
        <w:rPr>
          <w:rFonts w:hint="eastAsia" w:ascii="宋体" w:hAnsi="宋体"/>
          <w:color w:val="000000"/>
          <w:sz w:val="21"/>
          <w:szCs w:val="21"/>
          <w:highlight w:val="none"/>
        </w:rPr>
        <w:br w:type="textWrapping"/>
      </w:r>
      <w:r>
        <w:rPr>
          <w:rFonts w:hint="eastAsia" w:ascii="宋体" w:hAnsi="宋体"/>
          <w:color w:val="000000"/>
          <w:sz w:val="21"/>
          <w:szCs w:val="21"/>
          <w:highlight w:val="none"/>
        </w:rPr>
        <w:t xml:space="preserve">    8、绑扎建筑高处的钢筋时，应根据具体情况安全网、挂安全带。</w:t>
      </w:r>
      <w:r>
        <w:rPr>
          <w:rFonts w:hint="eastAsia" w:ascii="宋体" w:hAnsi="宋体"/>
          <w:color w:val="000000"/>
          <w:sz w:val="21"/>
          <w:szCs w:val="21"/>
          <w:highlight w:val="none"/>
        </w:rPr>
        <w:br w:type="textWrapping"/>
      </w:r>
      <w:r>
        <w:rPr>
          <w:rFonts w:hint="eastAsia" w:ascii="宋体" w:hAnsi="宋体"/>
          <w:color w:val="000000"/>
          <w:sz w:val="21"/>
          <w:szCs w:val="21"/>
          <w:highlight w:val="none"/>
        </w:rPr>
        <w:t xml:space="preserve">    9、起吊钢筋骨架时，下方禁止站人。必须待骨架降落到离地1米以内方准靠近，就位支撑好方可摘钩。 </w:t>
      </w:r>
      <w:r>
        <w:rPr>
          <w:rFonts w:hint="eastAsia" w:ascii="宋体" w:hAnsi="宋体"/>
          <w:color w:val="000000"/>
          <w:sz w:val="21"/>
          <w:szCs w:val="21"/>
          <w:highlight w:val="none"/>
        </w:rPr>
        <w:br w:type="textWrapping"/>
      </w:r>
      <w:r>
        <w:rPr>
          <w:rFonts w:hint="eastAsia" w:ascii="宋体" w:hAnsi="宋体"/>
          <w:color w:val="000000"/>
          <w:sz w:val="21"/>
          <w:szCs w:val="21"/>
          <w:highlight w:val="none"/>
        </w:rPr>
        <w:t xml:space="preserve">    10、绑扎立柱、墙体钢筋时，不准将木棒或横木插入钢筋骨架内，并坐在木棒或横木上操作。钢筋超长时，捆扎应牢固。</w:t>
      </w:r>
      <w:r>
        <w:rPr>
          <w:rFonts w:hint="eastAsia" w:ascii="宋体" w:hAnsi="宋体"/>
          <w:color w:val="000000"/>
          <w:sz w:val="21"/>
          <w:szCs w:val="21"/>
          <w:highlight w:val="none"/>
        </w:rPr>
        <w:br w:type="textWrapping"/>
      </w:r>
      <w:r>
        <w:rPr>
          <w:rFonts w:hint="eastAsia" w:ascii="宋体" w:hAnsi="宋体"/>
          <w:color w:val="000000"/>
          <w:sz w:val="21"/>
          <w:szCs w:val="21"/>
          <w:highlight w:val="none"/>
        </w:rPr>
        <w:t xml:space="preserve">    </w:t>
      </w:r>
      <w:r>
        <w:rPr>
          <w:rFonts w:hint="eastAsia" w:ascii="宋体" w:hAnsi="宋体"/>
          <w:color w:val="000000"/>
          <w:sz w:val="21"/>
          <w:szCs w:val="21"/>
          <w:highlight w:val="none"/>
          <w:lang w:val="en-US" w:eastAsia="zh-CN"/>
        </w:rPr>
        <w:t>11</w:t>
      </w:r>
      <w:r>
        <w:rPr>
          <w:rFonts w:hint="eastAsia" w:ascii="宋体" w:hAnsi="宋体"/>
          <w:color w:val="000000"/>
          <w:sz w:val="21"/>
          <w:szCs w:val="21"/>
          <w:highlight w:val="none"/>
        </w:rPr>
        <w:t>、在操作平台上堆放钢筋或物料应牢靠，操作工具不用时，必须装在工具袋内，以防坠物伤人。</w:t>
      </w:r>
      <w:r>
        <w:rPr>
          <w:rFonts w:hint="eastAsia" w:ascii="宋体" w:hAnsi="宋体"/>
          <w:color w:val="000000"/>
          <w:sz w:val="21"/>
          <w:szCs w:val="21"/>
          <w:highlight w:val="none"/>
        </w:rPr>
        <w:br w:type="textWrapping"/>
      </w:r>
      <w:r>
        <w:rPr>
          <w:rFonts w:hint="eastAsia" w:ascii="宋体" w:hAnsi="宋体"/>
          <w:color w:val="000000"/>
          <w:sz w:val="21"/>
          <w:szCs w:val="21"/>
          <w:highlight w:val="none"/>
        </w:rPr>
        <w:t>  12、使用钢筋冷拉机、切断机、弯曲机，应遵守钢筋机械安全技术操作规程，先检查后使用，使用后切断电源，设备应做好十字作业（清洁、润滑、调整、紧固、防腐）。 </w:t>
      </w:r>
    </w:p>
    <w:p w14:paraId="23AC25E3">
      <w:pPr>
        <w:pStyle w:val="15"/>
        <w:pageBreakBefore w:val="0"/>
        <w:shd w:val="clear"/>
        <w:kinsoku/>
        <w:wordWrap/>
        <w:overflowPunct/>
        <w:autoSpaceDE/>
        <w:autoSpaceDN/>
        <w:bidi w:val="0"/>
        <w:adjustRightInd w:val="0"/>
        <w:snapToGrid w:val="0"/>
        <w:spacing w:line="360" w:lineRule="auto"/>
        <w:ind w:firstLine="420" w:firstLineChars="200"/>
        <w:jc w:val="center"/>
        <w:textAlignment w:val="auto"/>
        <w:rPr>
          <w:rFonts w:ascii="宋体" w:hAnsi="宋体" w:cs="宋体"/>
          <w:b/>
          <w:bCs/>
          <w:sz w:val="21"/>
          <w:szCs w:val="21"/>
          <w:highlight w:val="none"/>
        </w:rPr>
      </w:pPr>
      <w:bookmarkStart w:id="38" w:name="_Toc22841"/>
      <w:bookmarkStart w:id="39" w:name="_Toc1899"/>
      <w:bookmarkStart w:id="40" w:name="_Toc17514"/>
      <w:r>
        <w:rPr>
          <w:rFonts w:hint="eastAsia" w:ascii="宋体" w:hAnsi="宋体" w:cs="宋体"/>
          <w:b/>
          <w:bCs/>
          <w:sz w:val="21"/>
          <w:szCs w:val="21"/>
          <w:highlight w:val="none"/>
        </w:rPr>
        <w:t>第七节 混凝土工安全操作规程</w:t>
      </w:r>
      <w:bookmarkEnd w:id="38"/>
      <w:bookmarkEnd w:id="39"/>
      <w:bookmarkEnd w:id="40"/>
    </w:p>
    <w:p w14:paraId="63FF4FF1">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color w:val="000000"/>
          <w:sz w:val="21"/>
          <w:szCs w:val="21"/>
          <w:highlight w:val="none"/>
        </w:rPr>
      </w:pPr>
      <w:r>
        <w:rPr>
          <w:rFonts w:hint="eastAsia" w:ascii="宋体" w:hAnsi="宋体"/>
          <w:color w:val="000000"/>
          <w:sz w:val="21"/>
          <w:szCs w:val="21"/>
          <w:highlight w:val="none"/>
        </w:rPr>
        <w:t>1、车子向料斗倒料，应有挡车措施，不得用力过猛和撒把。</w:t>
      </w:r>
    </w:p>
    <w:p w14:paraId="598FEABD">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color w:val="000000"/>
          <w:sz w:val="21"/>
          <w:szCs w:val="21"/>
          <w:highlight w:val="none"/>
        </w:rPr>
      </w:pPr>
      <w:r>
        <w:rPr>
          <w:rFonts w:hint="eastAsia" w:ascii="宋体" w:hAnsi="宋体"/>
          <w:color w:val="000000"/>
          <w:sz w:val="21"/>
          <w:szCs w:val="21"/>
          <w:highlight w:val="none"/>
        </w:rPr>
        <w:t>2、浇灌混凝土时，应设操作台，不得直接站在模板或支撑上操作。</w:t>
      </w:r>
    </w:p>
    <w:p w14:paraId="7DA2241E">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bCs/>
          <w:sz w:val="21"/>
          <w:szCs w:val="21"/>
          <w:highlight w:val="none"/>
        </w:rPr>
      </w:pPr>
      <w:r>
        <w:rPr>
          <w:rFonts w:hint="eastAsia" w:ascii="宋体" w:hAnsi="宋体"/>
          <w:color w:val="000000"/>
          <w:sz w:val="21"/>
          <w:szCs w:val="21"/>
          <w:highlight w:val="none"/>
        </w:rPr>
        <w:t>3、使用振动棒应穿胶鞋戴绝缘手套，湿手不得接触开关，电源线不得有破皮漏电。</w:t>
      </w:r>
      <w:r>
        <w:rPr>
          <w:rFonts w:hint="eastAsia" w:ascii="宋体" w:hAnsi="宋体"/>
          <w:color w:val="000000"/>
          <w:sz w:val="21"/>
          <w:szCs w:val="21"/>
          <w:highlight w:val="none"/>
        </w:rPr>
        <w:br w:type="textWrapping"/>
      </w:r>
      <w:r>
        <w:rPr>
          <w:rFonts w:hint="eastAsia" w:ascii="宋体" w:hAnsi="宋体"/>
          <w:color w:val="000000"/>
          <w:sz w:val="21"/>
          <w:szCs w:val="21"/>
          <w:highlight w:val="none"/>
        </w:rPr>
        <w:t xml:space="preserve">    4、浇灌时使用的溜槽及串筒节间必须连接牢固。操作部位应有护身栏杆，不准直接站在溜槽板上操作。</w:t>
      </w:r>
      <w:r>
        <w:rPr>
          <w:rFonts w:hint="eastAsia" w:ascii="宋体" w:hAnsi="宋体"/>
          <w:color w:val="000000"/>
          <w:sz w:val="21"/>
          <w:szCs w:val="21"/>
          <w:highlight w:val="none"/>
        </w:rPr>
        <w:br w:type="textWrapping"/>
      </w:r>
      <w:r>
        <w:rPr>
          <w:rFonts w:hint="eastAsia" w:ascii="宋体" w:hAnsi="宋体"/>
          <w:color w:val="000000"/>
          <w:sz w:val="21"/>
          <w:szCs w:val="21"/>
          <w:highlight w:val="none"/>
        </w:rPr>
        <w:t xml:space="preserve">    </w:t>
      </w:r>
      <w:r>
        <w:rPr>
          <w:rFonts w:hint="eastAsia" w:ascii="宋体" w:hAnsi="宋体"/>
          <w:bCs/>
          <w:sz w:val="21"/>
          <w:szCs w:val="21"/>
          <w:highlight w:val="none"/>
        </w:rPr>
        <w:t xml:space="preserve">5、混凝土搅拌机在运行中，任何人不得将工具伸入筒内清料，进料斗升起时，严禁任何人在料斗下通过或停留。     </w:t>
      </w:r>
    </w:p>
    <w:p w14:paraId="1139A1F4">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bCs/>
          <w:sz w:val="21"/>
          <w:szCs w:val="21"/>
          <w:highlight w:val="none"/>
        </w:rPr>
      </w:pPr>
      <w:r>
        <w:rPr>
          <w:rFonts w:hint="eastAsia" w:ascii="宋体" w:hAnsi="宋体"/>
          <w:bCs/>
          <w:sz w:val="21"/>
          <w:szCs w:val="21"/>
          <w:highlight w:val="none"/>
        </w:rPr>
        <w:t>6、混凝土机停用时，升起的料斗应插上安全插销，或挂上保险链。</w:t>
      </w:r>
    </w:p>
    <w:p w14:paraId="5BEA8EB0">
      <w:pPr>
        <w:pStyle w:val="15"/>
        <w:pageBreakBefore w:val="0"/>
        <w:shd w:val="clear"/>
        <w:kinsoku/>
        <w:wordWrap/>
        <w:overflowPunct/>
        <w:autoSpaceDE/>
        <w:autoSpaceDN/>
        <w:bidi w:val="0"/>
        <w:adjustRightInd w:val="0"/>
        <w:snapToGrid w:val="0"/>
        <w:spacing w:line="360" w:lineRule="auto"/>
        <w:ind w:firstLine="420" w:firstLineChars="200"/>
        <w:jc w:val="center"/>
        <w:textAlignment w:val="auto"/>
        <w:rPr>
          <w:rFonts w:ascii="宋体" w:hAnsi="宋体" w:cs="宋体"/>
          <w:b/>
          <w:bCs/>
          <w:sz w:val="21"/>
          <w:szCs w:val="21"/>
          <w:highlight w:val="none"/>
        </w:rPr>
      </w:pPr>
      <w:bookmarkStart w:id="41" w:name="_Toc1069"/>
      <w:bookmarkStart w:id="42" w:name="_Toc6115"/>
      <w:bookmarkStart w:id="43" w:name="_Toc12747"/>
      <w:r>
        <w:rPr>
          <w:rFonts w:hint="eastAsia" w:ascii="宋体" w:hAnsi="宋体" w:cs="宋体"/>
          <w:b/>
          <w:bCs/>
          <w:sz w:val="21"/>
          <w:szCs w:val="21"/>
          <w:highlight w:val="none"/>
        </w:rPr>
        <w:t>第八节 装载机安全驾驶操作规程</w:t>
      </w:r>
      <w:bookmarkEnd w:id="41"/>
      <w:bookmarkEnd w:id="42"/>
      <w:bookmarkEnd w:id="43"/>
    </w:p>
    <w:p w14:paraId="6A389944">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一、检查车辆</w:t>
      </w:r>
    </w:p>
    <w:p w14:paraId="2B3F56F4">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1、检查燃油、冷却水及润滑油情况</w:t>
      </w:r>
    </w:p>
    <w:p w14:paraId="3016F60D">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2、检查行车、驻车制动可靠性。</w:t>
      </w:r>
    </w:p>
    <w:p w14:paraId="33AF2509">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3、检查空载时铲斗系统运行情况。</w:t>
      </w:r>
    </w:p>
    <w:p w14:paraId="334FCDBB">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 xml:space="preserve">4、检查叉车检查内容中与装载机有关的项目。  </w:t>
      </w:r>
    </w:p>
    <w:p w14:paraId="2A9EAEA8">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 xml:space="preserve">二、起步    </w:t>
      </w:r>
    </w:p>
    <w:p w14:paraId="794BC64A">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 xml:space="preserve">l、起步前观察四周，确认无妨碍安全行车的障碍后，先鸣笛，再起步。  </w:t>
      </w:r>
    </w:p>
    <w:p w14:paraId="393DD58A">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2、制动气压表读数达到规定值方可起步。</w:t>
      </w:r>
    </w:p>
    <w:p w14:paraId="785A1430">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3、起步时不得突然加速，应平稳起步。</w:t>
      </w:r>
    </w:p>
    <w:p w14:paraId="6A7D2E52">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三、行驶</w:t>
      </w:r>
    </w:p>
    <w:p w14:paraId="2418B829">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1、行驶前取下前后车体安全联接杆，并妥善保管。</w:t>
      </w:r>
    </w:p>
    <w:p w14:paraId="72B0CE3A">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2、在坡道上行驶时，应使拖起动操纵杆处于接通位置，拖起动必须是正向行驶。</w:t>
      </w:r>
    </w:p>
    <w:p w14:paraId="0D4754BB">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3、改变行驶方向及变换驱动操纵杆必须在车停后进行。</w:t>
      </w:r>
    </w:p>
    <w:p w14:paraId="7BB8A97F">
      <w:pPr>
        <w:pageBreakBefore w:val="0"/>
        <w:shd w:val="clear"/>
        <w:kinsoku/>
        <w:wordWrap/>
        <w:overflowPunct/>
        <w:autoSpaceDE/>
        <w:autoSpaceDN/>
        <w:bidi w:val="0"/>
        <w:adjustRightInd w:val="0"/>
        <w:snapToGrid w:val="0"/>
        <w:spacing w:line="360" w:lineRule="auto"/>
        <w:ind w:left="210" w:leftChars="100" w:firstLine="210" w:firstLineChars="100"/>
        <w:textAlignment w:val="auto"/>
        <w:rPr>
          <w:rFonts w:ascii="宋体" w:hAnsi="宋体"/>
          <w:sz w:val="21"/>
          <w:szCs w:val="21"/>
          <w:highlight w:val="none"/>
        </w:rPr>
      </w:pPr>
      <w:r>
        <w:rPr>
          <w:rFonts w:hint="eastAsia" w:ascii="宋体" w:hAnsi="宋体"/>
          <w:sz w:val="21"/>
          <w:szCs w:val="21"/>
          <w:highlight w:val="none"/>
        </w:rPr>
        <w:t>4、运载物料时，应保持动臂下铰点离地面400mm以上。不得将铲斗提升到最高位置运送物料。</w:t>
      </w:r>
    </w:p>
    <w:p w14:paraId="192A8C4B">
      <w:pPr>
        <w:pageBreakBefore w:val="0"/>
        <w:shd w:val="clear"/>
        <w:kinsoku/>
        <w:wordWrap/>
        <w:overflowPunct/>
        <w:autoSpaceDE/>
        <w:autoSpaceDN/>
        <w:bidi w:val="0"/>
        <w:adjustRightInd w:val="0"/>
        <w:snapToGrid w:val="0"/>
        <w:spacing w:line="360" w:lineRule="auto"/>
        <w:textAlignment w:val="auto"/>
        <w:rPr>
          <w:rFonts w:ascii="宋体" w:hAnsi="宋体"/>
          <w:sz w:val="21"/>
          <w:szCs w:val="21"/>
          <w:highlight w:val="none"/>
        </w:rPr>
      </w:pPr>
      <w:r>
        <w:rPr>
          <w:rFonts w:hint="eastAsia" w:ascii="宋体" w:hAnsi="宋体"/>
          <w:sz w:val="21"/>
          <w:szCs w:val="21"/>
          <w:highlight w:val="none"/>
        </w:rPr>
        <w:t xml:space="preserve">    5、应尽量避免在斜坡横向行驶及铲装物料。</w:t>
      </w:r>
    </w:p>
    <w:p w14:paraId="62D6A7B4">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四、装卸作业</w:t>
      </w:r>
    </w:p>
    <w:p w14:paraId="33363942">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1、发动机的水温及润滑油温度达到规定值时方可进行全负，荷作业，当水温、油温超过363K(90℃)时应停车，查找原因，待水温低于363K(90℃)时方可作业，否则会损坏发动机。</w:t>
      </w:r>
    </w:p>
    <w:p w14:paraId="74CD46B9">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2、禁止在前后车体形成角度时铲装货物。取货前，应使前后车体形成直线，对正并靠近货堆，同时使铲斗平行接触地面，然后取货。</w:t>
      </w:r>
    </w:p>
    <w:p w14:paraId="014888AA">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3、除散粮以外，不准用高速档取货。</w:t>
      </w:r>
    </w:p>
    <w:p w14:paraId="5BF1B51D">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4、不准边行驶边起升铲斗。</w:t>
      </w:r>
    </w:p>
    <w:p w14:paraId="43EE9C29">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5、铲斗铲装货物应均衡，不准铲斗偏重装载货物。</w:t>
      </w:r>
    </w:p>
    <w:p w14:paraId="1578342C">
      <w:pPr>
        <w:pageBreakBefore w:val="0"/>
        <w:shd w:val="clear"/>
        <w:kinsoku/>
        <w:wordWrap/>
        <w:overflowPunct/>
        <w:autoSpaceDE/>
        <w:autoSpaceDN/>
        <w:bidi w:val="0"/>
        <w:adjustRightInd w:val="0"/>
        <w:snapToGrid w:val="0"/>
        <w:spacing w:line="360" w:lineRule="auto"/>
        <w:ind w:firstLine="420" w:firstLineChars="200"/>
        <w:textAlignment w:val="auto"/>
        <w:rPr>
          <w:rFonts w:hint="eastAsia" w:ascii="宋体" w:hAnsi="宋体"/>
          <w:sz w:val="21"/>
          <w:szCs w:val="21"/>
          <w:highlight w:val="none"/>
        </w:rPr>
      </w:pPr>
      <w:r>
        <w:rPr>
          <w:rFonts w:hint="eastAsia" w:ascii="宋体" w:hAnsi="宋体"/>
          <w:sz w:val="21"/>
          <w:szCs w:val="21"/>
          <w:highlight w:val="none"/>
        </w:rPr>
        <w:t>6、装载车是用来进行装载及短途运输散装物料的车辆，禁止用铲斗进行挖掘作业。</w:t>
      </w:r>
    </w:p>
    <w:p w14:paraId="2B0AE0DE">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7、驾驶员离车前，应将铲斗放到地面，禁止在铲斗悬空时驾驶员离车。</w:t>
      </w:r>
    </w:p>
    <w:p w14:paraId="44E8E6FA">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8、起升的铲斗下面严禁站人或进行检修作业。若必须在铲斗起升时检修车辆，应对铲斗采取支撑措施，并保证牢固可靠。</w:t>
      </w:r>
    </w:p>
    <w:p w14:paraId="69F6B8F2">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9、禁止用铲斗举升人员从事高处作业。</w:t>
      </w:r>
    </w:p>
    <w:p w14:paraId="55A73548">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10、禁止在码头岸边直接铲装船上的物料。</w:t>
      </w:r>
    </w:p>
    <w:p w14:paraId="3F61450B">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lang w:val="en-US" w:eastAsia="zh-CN"/>
        </w:rPr>
        <w:t>11</w:t>
      </w:r>
      <w:r>
        <w:rPr>
          <w:rFonts w:hint="eastAsia" w:ascii="宋体" w:hAnsi="宋体"/>
          <w:sz w:val="21"/>
          <w:szCs w:val="21"/>
          <w:highlight w:val="none"/>
        </w:rPr>
        <w:t>、在架空管线下面作业，铲斗起升时应注意不要碰到上方的障碍物，在高压输电线路下面作业时，铲斗还应与输电线保持足够的安全距离。</w:t>
      </w:r>
    </w:p>
    <w:p w14:paraId="4CCE5FD1">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12、在为载重汽车倾卸物料，铲斗前翻时不得刮碰车辆，卸载动作要缓和。在卸车作业时，应注意铲斗不要刮碰车厢。在推运或刮平作业中，应随时观察运行情况，发现车辆前进受阻，应审慎操作，不得强行前进。</w:t>
      </w:r>
    </w:p>
    <w:p w14:paraId="6874FDF3">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13、停车后应将换向操纵杆放到中央位置，将前后车体安全联接杆安装好。</w:t>
      </w:r>
    </w:p>
    <w:p w14:paraId="7B024148">
      <w:pPr>
        <w:pStyle w:val="15"/>
        <w:pageBreakBefore w:val="0"/>
        <w:shd w:val="clear"/>
        <w:kinsoku/>
        <w:wordWrap/>
        <w:overflowPunct/>
        <w:autoSpaceDE/>
        <w:autoSpaceDN/>
        <w:bidi w:val="0"/>
        <w:adjustRightInd w:val="0"/>
        <w:snapToGrid w:val="0"/>
        <w:spacing w:line="360" w:lineRule="auto"/>
        <w:ind w:firstLine="420" w:firstLineChars="200"/>
        <w:jc w:val="center"/>
        <w:textAlignment w:val="auto"/>
        <w:rPr>
          <w:rFonts w:ascii="宋体" w:hAnsi="宋体" w:cs="宋体"/>
          <w:b/>
          <w:bCs/>
          <w:sz w:val="21"/>
          <w:szCs w:val="21"/>
          <w:highlight w:val="none"/>
        </w:rPr>
      </w:pPr>
      <w:bookmarkStart w:id="44" w:name="_Toc26422"/>
      <w:bookmarkStart w:id="45" w:name="_Toc7309"/>
      <w:bookmarkStart w:id="46" w:name="_Toc23042"/>
      <w:r>
        <w:rPr>
          <w:rFonts w:hint="eastAsia" w:ascii="宋体" w:hAnsi="宋体" w:cs="宋体"/>
          <w:b/>
          <w:bCs/>
          <w:sz w:val="21"/>
          <w:szCs w:val="21"/>
          <w:highlight w:val="none"/>
        </w:rPr>
        <w:t>第九节 挖掘机安全驾驶操作规程</w:t>
      </w:r>
      <w:bookmarkEnd w:id="44"/>
      <w:bookmarkEnd w:id="45"/>
      <w:bookmarkEnd w:id="46"/>
    </w:p>
    <w:p w14:paraId="5267F43D">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一、检查车辆</w:t>
      </w:r>
    </w:p>
    <w:p w14:paraId="70F27887">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按规定项目、标准检查挖掘机各部技术状况处于完好状态。</w:t>
      </w:r>
    </w:p>
    <w:p w14:paraId="50B189DA">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 xml:space="preserve">二、起步    </w:t>
      </w:r>
    </w:p>
    <w:p w14:paraId="1FD43442">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1</w:t>
      </w:r>
      <w:r>
        <w:rPr>
          <w:rFonts w:hint="eastAsia" w:ascii="宋体" w:hAnsi="宋体"/>
          <w:sz w:val="21"/>
          <w:szCs w:val="21"/>
          <w:highlight w:val="none"/>
          <w:lang w:eastAsia="zh-CN"/>
        </w:rPr>
        <w:t>、</w:t>
      </w:r>
      <w:r>
        <w:rPr>
          <w:rFonts w:hint="eastAsia" w:ascii="宋体" w:hAnsi="宋体"/>
          <w:sz w:val="21"/>
          <w:szCs w:val="21"/>
          <w:highlight w:val="none"/>
        </w:rPr>
        <w:t>起步前，应将铲斗放在车架上，：收回长杆，插好平台与车架的固定插销，支腿处于可靠的收回状态；插好连接平台与车架电路的插头，接通电源，确认各仪表指示正常。</w:t>
      </w:r>
    </w:p>
    <w:p w14:paraId="54E9E35F">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2</w:t>
      </w:r>
      <w:r>
        <w:rPr>
          <w:rFonts w:hint="eastAsia" w:ascii="宋体" w:hAnsi="宋体"/>
          <w:sz w:val="21"/>
          <w:szCs w:val="21"/>
          <w:highlight w:val="none"/>
          <w:lang w:eastAsia="zh-CN"/>
        </w:rPr>
        <w:t>、</w:t>
      </w:r>
      <w:r>
        <w:rPr>
          <w:rFonts w:hint="eastAsia" w:ascii="宋体" w:hAnsi="宋体"/>
          <w:sz w:val="21"/>
          <w:szCs w:val="21"/>
          <w:highlight w:val="none"/>
        </w:rPr>
        <w:t>起步时应先观察四周，先鸣笛，后起步，以防伤人。</w:t>
      </w:r>
    </w:p>
    <w:p w14:paraId="4E90C99C">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3</w:t>
      </w:r>
      <w:r>
        <w:rPr>
          <w:rFonts w:hint="eastAsia" w:ascii="宋体" w:hAnsi="宋体"/>
          <w:sz w:val="21"/>
          <w:szCs w:val="21"/>
          <w:highlight w:val="none"/>
          <w:lang w:eastAsia="zh-CN"/>
        </w:rPr>
        <w:t>、</w:t>
      </w:r>
      <w:r>
        <w:rPr>
          <w:rFonts w:hint="eastAsia" w:ascii="宋体" w:hAnsi="宋体"/>
          <w:sz w:val="21"/>
          <w:szCs w:val="21"/>
          <w:highlight w:val="none"/>
        </w:rPr>
        <w:t>挖掘机移动时；应注意前后环境状况，以防碰到电线或其它设施。</w:t>
      </w:r>
    </w:p>
    <w:p w14:paraId="3A635EA2">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三、行驶</w:t>
      </w:r>
    </w:p>
    <w:p w14:paraId="6A6D73A6">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1</w:t>
      </w:r>
      <w:r>
        <w:rPr>
          <w:rFonts w:hint="eastAsia" w:ascii="宋体" w:hAnsi="宋体"/>
          <w:sz w:val="21"/>
          <w:szCs w:val="21"/>
          <w:highlight w:val="none"/>
          <w:lang w:eastAsia="zh-CN"/>
        </w:rPr>
        <w:t>、</w:t>
      </w:r>
      <w:r>
        <w:rPr>
          <w:rFonts w:hint="eastAsia" w:ascii="宋体" w:hAnsi="宋体"/>
          <w:sz w:val="21"/>
          <w:szCs w:val="21"/>
          <w:highlight w:val="none"/>
        </w:rPr>
        <w:t>下坡行驶时，严禁发动机熄火滑行和空档滑行。</w:t>
      </w:r>
    </w:p>
    <w:p w14:paraId="45AFD749">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lang w:val="en-US" w:eastAsia="zh-CN"/>
        </w:rPr>
        <w:t>2、</w:t>
      </w:r>
      <w:r>
        <w:rPr>
          <w:rFonts w:hint="eastAsia" w:ascii="宋体" w:hAnsi="宋体"/>
          <w:sz w:val="21"/>
          <w:szCs w:val="21"/>
          <w:highlight w:val="none"/>
        </w:rPr>
        <w:t>不得在斜坡路面上横向行驶。</w:t>
      </w:r>
    </w:p>
    <w:p w14:paraId="1100C7E2">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lang w:val="en-US" w:eastAsia="zh-CN"/>
        </w:rPr>
        <w:t>3、</w:t>
      </w:r>
      <w:r>
        <w:rPr>
          <w:rFonts w:hint="eastAsia" w:ascii="宋体" w:hAnsi="宋体"/>
          <w:sz w:val="21"/>
          <w:szCs w:val="21"/>
          <w:highlight w:val="none"/>
        </w:rPr>
        <w:t>严禁在铲斗内载人、载物行驶。</w:t>
      </w:r>
    </w:p>
    <w:p w14:paraId="745566B6">
      <w:pPr>
        <w:pageBreakBefore w:val="0"/>
        <w:shd w:val="clear"/>
        <w:kinsoku/>
        <w:wordWrap/>
        <w:overflowPunct/>
        <w:autoSpaceDE/>
        <w:autoSpaceDN/>
        <w:bidi w:val="0"/>
        <w:adjustRightInd w:val="0"/>
        <w:snapToGrid w:val="0"/>
        <w:spacing w:line="360" w:lineRule="auto"/>
        <w:ind w:firstLine="420" w:firstLineChars="200"/>
        <w:textAlignment w:val="auto"/>
        <w:rPr>
          <w:rFonts w:hint="eastAsia" w:ascii="宋体" w:hAnsi="宋体"/>
          <w:sz w:val="21"/>
          <w:szCs w:val="21"/>
          <w:highlight w:val="none"/>
        </w:rPr>
      </w:pPr>
      <w:r>
        <w:rPr>
          <w:rFonts w:hint="eastAsia" w:ascii="宋体" w:hAnsi="宋体"/>
          <w:sz w:val="21"/>
          <w:szCs w:val="21"/>
          <w:highlight w:val="none"/>
          <w:lang w:val="en-US" w:eastAsia="zh-CN"/>
        </w:rPr>
        <w:t>4、</w:t>
      </w:r>
      <w:r>
        <w:rPr>
          <w:rFonts w:hint="eastAsia" w:ascii="宋体" w:hAnsi="宋体"/>
          <w:sz w:val="21"/>
          <w:szCs w:val="21"/>
          <w:highlight w:val="none"/>
        </w:rPr>
        <w:t xml:space="preserve">通过泥泞、冰雪、松软路面以及坡度较大的道路时，应使前、后桥同时驱动。 </w:t>
      </w:r>
    </w:p>
    <w:p w14:paraId="055C189C">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lang w:val="en-US" w:eastAsia="zh-CN"/>
        </w:rPr>
        <w:t>5、</w:t>
      </w:r>
      <w:r>
        <w:rPr>
          <w:rFonts w:hint="eastAsia" w:ascii="宋体" w:hAnsi="宋体"/>
          <w:sz w:val="21"/>
          <w:szCs w:val="21"/>
          <w:highlight w:val="none"/>
        </w:rPr>
        <w:t>恶劣天气能见度在5m以内或道路最大纵坡在6％以上，能见度在10m以内时，应停止行驶。</w:t>
      </w:r>
    </w:p>
    <w:p w14:paraId="6622F8F6">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四、进入作业现场</w:t>
      </w:r>
    </w:p>
    <w:p w14:paraId="1E1C424C">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lang w:val="en-US" w:eastAsia="zh-CN"/>
        </w:rPr>
        <w:t>1、</w:t>
      </w:r>
      <w:r>
        <w:rPr>
          <w:rFonts w:hint="eastAsia" w:ascii="宋体" w:hAnsi="宋体"/>
          <w:sz w:val="21"/>
          <w:szCs w:val="21"/>
          <w:highlight w:val="none"/>
        </w:rPr>
        <w:t>停机处的地面应平整、坚实可靠。</w:t>
      </w:r>
    </w:p>
    <w:p w14:paraId="10904FB7">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lang w:val="en-US" w:eastAsia="zh-CN"/>
        </w:rPr>
        <w:t>2、</w:t>
      </w:r>
      <w:r>
        <w:rPr>
          <w:rFonts w:hint="eastAsia" w:ascii="宋体" w:hAnsi="宋体"/>
          <w:sz w:val="21"/>
          <w:szCs w:val="21"/>
          <w:highlight w:val="none"/>
        </w:rPr>
        <w:t>铲斗回转半径范围内不应有其它设施妨碍铲斗作业。</w:t>
      </w:r>
    </w:p>
    <w:p w14:paraId="722F5E38">
      <w:pPr>
        <w:pageBreakBefore w:val="0"/>
        <w:shd w:val="clear"/>
        <w:kinsoku/>
        <w:wordWrap/>
        <w:overflowPunct/>
        <w:autoSpaceDE/>
        <w:autoSpaceDN/>
        <w:bidi w:val="0"/>
        <w:adjustRightInd w:val="0"/>
        <w:snapToGrid w:val="0"/>
        <w:spacing w:line="360" w:lineRule="auto"/>
        <w:ind w:firstLine="420" w:firstLineChars="200"/>
        <w:textAlignment w:val="auto"/>
        <w:rPr>
          <w:rFonts w:hint="eastAsia" w:ascii="宋体" w:hAnsi="宋体"/>
          <w:sz w:val="21"/>
          <w:szCs w:val="21"/>
          <w:highlight w:val="none"/>
        </w:rPr>
      </w:pPr>
      <w:r>
        <w:rPr>
          <w:rFonts w:hint="eastAsia" w:ascii="宋体" w:hAnsi="宋体"/>
          <w:sz w:val="21"/>
          <w:szCs w:val="21"/>
          <w:highlight w:val="none"/>
          <w:lang w:val="en-US" w:eastAsia="zh-CN"/>
        </w:rPr>
        <w:t>3、</w:t>
      </w:r>
      <w:r>
        <w:rPr>
          <w:rFonts w:hint="eastAsia" w:ascii="宋体" w:hAnsi="宋体"/>
          <w:sz w:val="21"/>
          <w:szCs w:val="21"/>
          <w:highlight w:val="none"/>
        </w:rPr>
        <w:t>严禁铲斗回转半径范围内有人员停留。</w:t>
      </w:r>
    </w:p>
    <w:p w14:paraId="04F92BA3">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lang w:val="en-US" w:eastAsia="zh-CN"/>
        </w:rPr>
        <w:t>4、</w:t>
      </w:r>
      <w:r>
        <w:rPr>
          <w:rFonts w:hint="eastAsia" w:ascii="宋体" w:hAnsi="宋体"/>
          <w:sz w:val="21"/>
          <w:szCs w:val="21"/>
          <w:highlight w:val="none"/>
        </w:rPr>
        <w:t>应尽量避免在高压输电线路下面作业。无法避免在高压输电线路下面作业时，铲斗与电线间的安全距离应符合有关规定。</w:t>
      </w:r>
    </w:p>
    <w:p w14:paraId="31901A6A">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lang w:val="en-US" w:eastAsia="zh-CN"/>
        </w:rPr>
        <w:t>5、</w:t>
      </w:r>
      <w:r>
        <w:rPr>
          <w:rFonts w:hint="eastAsia" w:ascii="宋体" w:hAnsi="宋体"/>
          <w:sz w:val="21"/>
          <w:szCs w:val="21"/>
          <w:highlight w:val="none"/>
        </w:rPr>
        <w:t>若需挖掘机边移动边挖掘时，应选择无碍安全的挖掘路线，否则须采取安全措施后方可进行作业。</w:t>
      </w:r>
    </w:p>
    <w:p w14:paraId="05251A6F">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五、挖掘作业</w:t>
      </w:r>
    </w:p>
    <w:p w14:paraId="30A6F0EF">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lang w:val="en-US" w:eastAsia="zh-CN"/>
        </w:rPr>
        <w:t>1、</w:t>
      </w:r>
      <w:r>
        <w:rPr>
          <w:rFonts w:hint="eastAsia" w:ascii="宋体" w:hAnsi="宋体"/>
          <w:sz w:val="21"/>
          <w:szCs w:val="21"/>
          <w:highlight w:val="none"/>
        </w:rPr>
        <w:t>作业时应将支腿支稳垫牢，后轮胎略为离地；将前后轮制动，并将平台周围无关物品清除干净。</w:t>
      </w:r>
    </w:p>
    <w:p w14:paraId="2DB2F1B9">
      <w:pPr>
        <w:pageBreakBefore w:val="0"/>
        <w:shd w:val="clear"/>
        <w:kinsoku/>
        <w:wordWrap/>
        <w:overflowPunct/>
        <w:autoSpaceDE/>
        <w:autoSpaceDN/>
        <w:bidi w:val="0"/>
        <w:adjustRightInd w:val="0"/>
        <w:snapToGrid w:val="0"/>
        <w:spacing w:line="360" w:lineRule="auto"/>
        <w:ind w:firstLine="210" w:firstLineChars="100"/>
        <w:textAlignment w:val="auto"/>
        <w:rPr>
          <w:rFonts w:ascii="宋体" w:hAnsi="宋体"/>
          <w:sz w:val="21"/>
          <w:szCs w:val="21"/>
          <w:highlight w:val="none"/>
        </w:rPr>
      </w:pPr>
      <w:r>
        <w:rPr>
          <w:rFonts w:hint="eastAsia" w:ascii="宋体" w:hAnsi="宋体"/>
          <w:sz w:val="21"/>
          <w:szCs w:val="21"/>
          <w:highlight w:val="none"/>
        </w:rPr>
        <w:t xml:space="preserve"> </w:t>
      </w:r>
      <w:r>
        <w:rPr>
          <w:rFonts w:hint="eastAsia" w:ascii="宋体" w:hAnsi="宋体"/>
          <w:sz w:val="21"/>
          <w:szCs w:val="21"/>
          <w:highlight w:val="none"/>
          <w:lang w:val="en-US" w:eastAsia="zh-CN"/>
        </w:rPr>
        <w:t xml:space="preserve"> 2、</w:t>
      </w:r>
      <w:r>
        <w:rPr>
          <w:rFonts w:hint="eastAsia" w:ascii="宋体" w:hAnsi="宋体"/>
          <w:sz w:val="21"/>
          <w:szCs w:val="21"/>
          <w:highlight w:val="none"/>
        </w:rPr>
        <w:t>在开挖前应该检查公用地下设施(管道，电缆等)的位置。不允许挖掘机在还需要保留的地下设施附近作业。</w:t>
      </w:r>
    </w:p>
    <w:p w14:paraId="5D578169">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lang w:val="en-US" w:eastAsia="zh-CN"/>
        </w:rPr>
        <w:t>3、</w:t>
      </w:r>
      <w:r>
        <w:rPr>
          <w:rFonts w:hint="eastAsia" w:ascii="宋体" w:hAnsi="宋体"/>
          <w:sz w:val="21"/>
          <w:szCs w:val="21"/>
          <w:highlight w:val="none"/>
        </w:rPr>
        <w:t>挖出的沟土不应抛到沟边，应随挖随将土运走。</w:t>
      </w:r>
    </w:p>
    <w:p w14:paraId="64EEF44C">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lang w:val="en-US" w:eastAsia="zh-CN"/>
        </w:rPr>
        <w:t>4、</w:t>
      </w:r>
      <w:r>
        <w:rPr>
          <w:rFonts w:hint="eastAsia" w:ascii="宋体" w:hAnsi="宋体"/>
          <w:sz w:val="21"/>
          <w:szCs w:val="21"/>
          <w:highlight w:val="none"/>
        </w:rPr>
        <w:t>如有两台挖掘机同时作业时，互相应保持一定的安全距离，防止臂架相互碰撞。</w:t>
      </w:r>
    </w:p>
    <w:p w14:paraId="42A67355">
      <w:pPr>
        <w:pageBreakBefore w:val="0"/>
        <w:shd w:val="clear"/>
        <w:kinsoku/>
        <w:wordWrap/>
        <w:overflowPunct/>
        <w:autoSpaceDE/>
        <w:autoSpaceDN/>
        <w:bidi w:val="0"/>
        <w:adjustRightInd w:val="0"/>
        <w:snapToGrid w:val="0"/>
        <w:spacing w:line="360" w:lineRule="auto"/>
        <w:ind w:firstLine="420" w:firstLineChars="200"/>
        <w:textAlignment w:val="auto"/>
        <w:rPr>
          <w:rFonts w:hint="eastAsia" w:ascii="宋体" w:hAnsi="宋体"/>
          <w:sz w:val="21"/>
          <w:szCs w:val="21"/>
          <w:highlight w:val="none"/>
        </w:rPr>
      </w:pPr>
      <w:r>
        <w:rPr>
          <w:rFonts w:hint="eastAsia" w:ascii="宋体" w:hAnsi="宋体"/>
          <w:sz w:val="21"/>
          <w:szCs w:val="21"/>
          <w:highlight w:val="none"/>
          <w:lang w:val="en-US" w:eastAsia="zh-CN"/>
        </w:rPr>
        <w:t>5、</w:t>
      </w:r>
      <w:r>
        <w:rPr>
          <w:rFonts w:hint="eastAsia" w:ascii="宋体" w:hAnsi="宋体"/>
          <w:sz w:val="21"/>
          <w:szCs w:val="21"/>
          <w:highlight w:val="none"/>
        </w:rPr>
        <w:t xml:space="preserve"> 在斜坡上作业时，要用铰盘钢丝绳将挖掘机拖住。</w:t>
      </w:r>
    </w:p>
    <w:p w14:paraId="2610CFF9">
      <w:pPr>
        <w:pageBreakBefore w:val="0"/>
        <w:shd w:val="clear"/>
        <w:kinsoku/>
        <w:wordWrap/>
        <w:overflowPunct/>
        <w:autoSpaceDE/>
        <w:autoSpaceDN/>
        <w:bidi w:val="0"/>
        <w:adjustRightInd w:val="0"/>
        <w:snapToGrid w:val="0"/>
        <w:spacing w:line="360" w:lineRule="auto"/>
        <w:ind w:firstLine="420" w:firstLineChars="200"/>
        <w:textAlignment w:val="auto"/>
        <w:rPr>
          <w:rFonts w:hint="eastAsia" w:ascii="宋体" w:hAnsi="宋体"/>
          <w:sz w:val="21"/>
          <w:szCs w:val="21"/>
          <w:highlight w:val="none"/>
        </w:rPr>
      </w:pPr>
      <w:r>
        <w:rPr>
          <w:rFonts w:hint="eastAsia" w:ascii="宋体" w:hAnsi="宋体"/>
          <w:sz w:val="21"/>
          <w:szCs w:val="21"/>
          <w:highlight w:val="none"/>
          <w:lang w:val="en-US" w:eastAsia="zh-CN"/>
        </w:rPr>
        <w:t>6、</w:t>
      </w:r>
      <w:r>
        <w:rPr>
          <w:rFonts w:hint="eastAsia" w:ascii="宋体" w:hAnsi="宋体"/>
          <w:sz w:val="21"/>
          <w:szCs w:val="21"/>
          <w:highlight w:val="none"/>
        </w:rPr>
        <w:t>铲斗落地和升起操作不得过猛；平台的起动、回转、停止等操作应缓慢平稳；卸料时，铲斗不得经越或停留在运输车辆驾驶室的上方，铲斗不得与车辆的任何部位接触。</w:t>
      </w:r>
    </w:p>
    <w:p w14:paraId="28A10F8B">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lang w:val="en-US" w:eastAsia="zh-CN"/>
        </w:rPr>
        <w:t>7、</w:t>
      </w:r>
      <w:r>
        <w:rPr>
          <w:rFonts w:hint="eastAsia" w:ascii="宋体" w:hAnsi="宋体"/>
          <w:sz w:val="21"/>
          <w:szCs w:val="21"/>
          <w:highlight w:val="none"/>
        </w:rPr>
        <w:t xml:space="preserve"> 挖掘机在挖比较深的基槽、地沟时，机身窝边口应不少于3m，并用坚木垫实机身，方可进行作业。</w:t>
      </w:r>
    </w:p>
    <w:p w14:paraId="0F5BCD3E">
      <w:pPr>
        <w:pStyle w:val="15"/>
        <w:pageBreakBefore w:val="0"/>
        <w:shd w:val="clear"/>
        <w:kinsoku/>
        <w:wordWrap/>
        <w:overflowPunct/>
        <w:autoSpaceDE/>
        <w:autoSpaceDN/>
        <w:bidi w:val="0"/>
        <w:adjustRightInd w:val="0"/>
        <w:snapToGrid w:val="0"/>
        <w:spacing w:line="360" w:lineRule="auto"/>
        <w:ind w:firstLine="420" w:firstLineChars="200"/>
        <w:jc w:val="center"/>
        <w:textAlignment w:val="auto"/>
        <w:rPr>
          <w:rFonts w:ascii="宋体" w:hAnsi="宋体"/>
          <w:sz w:val="21"/>
          <w:szCs w:val="21"/>
          <w:highlight w:val="none"/>
        </w:rPr>
      </w:pPr>
      <w:bookmarkStart w:id="47" w:name="_Toc12038"/>
      <w:bookmarkStart w:id="48" w:name="_Toc28105"/>
      <w:bookmarkStart w:id="49" w:name="_Toc27549"/>
      <w:r>
        <w:rPr>
          <w:rFonts w:hint="eastAsia" w:ascii="宋体" w:hAnsi="宋体" w:cs="宋体"/>
          <w:b/>
          <w:bCs/>
          <w:sz w:val="21"/>
          <w:szCs w:val="21"/>
          <w:highlight w:val="none"/>
        </w:rPr>
        <w:t>第十节 推土机安全驾驶操作规程</w:t>
      </w:r>
      <w:bookmarkEnd w:id="47"/>
      <w:bookmarkEnd w:id="48"/>
      <w:bookmarkEnd w:id="49"/>
    </w:p>
    <w:p w14:paraId="0C564E9D">
      <w:pPr>
        <w:pageBreakBefore w:val="0"/>
        <w:shd w:val="clear"/>
        <w:kinsoku/>
        <w:wordWrap/>
        <w:overflowPunct/>
        <w:autoSpaceDE/>
        <w:autoSpaceDN/>
        <w:bidi w:val="0"/>
        <w:adjustRightInd w:val="0"/>
        <w:snapToGrid w:val="0"/>
        <w:spacing w:line="360" w:lineRule="auto"/>
        <w:ind w:left="105" w:leftChars="50" w:firstLine="420" w:firstLineChars="200"/>
        <w:textAlignment w:val="auto"/>
        <w:rPr>
          <w:rFonts w:ascii="宋体" w:hAnsi="宋体"/>
          <w:sz w:val="21"/>
          <w:szCs w:val="21"/>
          <w:highlight w:val="none"/>
        </w:rPr>
      </w:pPr>
      <w:r>
        <w:rPr>
          <w:rFonts w:hint="eastAsia" w:ascii="宋体" w:hAnsi="宋体"/>
          <w:sz w:val="21"/>
          <w:szCs w:val="21"/>
          <w:highlight w:val="none"/>
        </w:rPr>
        <w:t>推土机的行走部分是由履带来完成的，它实际上是由履带式拖拉机加上推土铲组装而成，它的作用主要是在施工现场推平地面。</w:t>
      </w:r>
    </w:p>
    <w:p w14:paraId="598D7E69">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一、检查车辆</w:t>
      </w:r>
    </w:p>
    <w:p w14:paraId="6A007434">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lang w:val="en-US" w:eastAsia="zh-CN"/>
        </w:rPr>
        <w:t>1、</w:t>
      </w:r>
      <w:r>
        <w:rPr>
          <w:rFonts w:hint="eastAsia" w:ascii="宋体" w:hAnsi="宋体"/>
          <w:sz w:val="21"/>
          <w:szCs w:val="21"/>
          <w:highlight w:val="none"/>
        </w:rPr>
        <w:t>检查车辆燃油、冷却水、润滑油情况。</w:t>
      </w:r>
    </w:p>
    <w:p w14:paraId="5FBBCD6E">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lang w:val="en-US" w:eastAsia="zh-CN"/>
        </w:rPr>
        <w:t>2、</w:t>
      </w:r>
      <w:r>
        <w:rPr>
          <w:rFonts w:hint="eastAsia" w:ascii="宋体" w:hAnsi="宋体"/>
          <w:sz w:val="21"/>
          <w:szCs w:val="21"/>
          <w:highlight w:val="none"/>
        </w:rPr>
        <w:t xml:space="preserve">检查履带销钉有无窜出现象。  </w:t>
      </w:r>
    </w:p>
    <w:p w14:paraId="0AEC6FAC">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lang w:val="en-US" w:eastAsia="zh-CN"/>
        </w:rPr>
        <w:t>3、</w:t>
      </w:r>
      <w:r>
        <w:rPr>
          <w:rFonts w:hint="eastAsia" w:ascii="宋体" w:hAnsi="宋体"/>
          <w:sz w:val="21"/>
          <w:szCs w:val="21"/>
          <w:highlight w:val="none"/>
        </w:rPr>
        <w:t>检查推土铲运转情况。</w:t>
      </w:r>
    </w:p>
    <w:p w14:paraId="1060633A">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lang w:val="en-US" w:eastAsia="zh-CN"/>
        </w:rPr>
        <w:t>4、</w:t>
      </w:r>
      <w:r>
        <w:rPr>
          <w:rFonts w:hint="eastAsia" w:ascii="宋体" w:hAnsi="宋体"/>
          <w:sz w:val="21"/>
          <w:szCs w:val="21"/>
          <w:highlight w:val="none"/>
        </w:rPr>
        <w:t>检查液压系统运行及密封件的漏油情况。</w:t>
      </w:r>
    </w:p>
    <w:p w14:paraId="287BD6DA">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lang w:val="en-US" w:eastAsia="zh-CN"/>
        </w:rPr>
        <w:t>5、</w:t>
      </w:r>
      <w:r>
        <w:rPr>
          <w:rFonts w:hint="eastAsia" w:ascii="宋体" w:hAnsi="宋体"/>
          <w:sz w:val="21"/>
          <w:szCs w:val="21"/>
          <w:highlight w:val="none"/>
        </w:rPr>
        <w:t>运行时，随时注意车辆的压力及温度。</w:t>
      </w:r>
    </w:p>
    <w:p w14:paraId="6F043708">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二、起步</w:t>
      </w:r>
    </w:p>
    <w:p w14:paraId="3CE499D6">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起步前观察四周是否有人，尤其是倒车时更应加强观察，同时应观察履带上是否有其它物品，确认安全后，应低速、平稳起步。</w:t>
      </w:r>
    </w:p>
    <w:p w14:paraId="348F66BE">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 xml:space="preserve">三、作业   </w:t>
      </w:r>
    </w:p>
    <w:p w14:paraId="0C72E2F4">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lang w:val="en-US" w:eastAsia="zh-CN"/>
        </w:rPr>
        <w:t>1、</w:t>
      </w:r>
      <w:r>
        <w:rPr>
          <w:rFonts w:hint="eastAsia" w:ascii="宋体" w:hAnsi="宋体"/>
          <w:sz w:val="21"/>
          <w:szCs w:val="21"/>
          <w:highlight w:val="none"/>
        </w:rPr>
        <w:t>作业时应选择适宜的铲推路线，在清理作业现场时，应能保证车辆无下陷、倾覆等危险。</w:t>
      </w:r>
    </w:p>
    <w:p w14:paraId="5D2F18FB">
      <w:pPr>
        <w:pageBreakBefore w:val="0"/>
        <w:shd w:val="clear"/>
        <w:kinsoku/>
        <w:wordWrap/>
        <w:overflowPunct/>
        <w:autoSpaceDE/>
        <w:autoSpaceDN/>
        <w:bidi w:val="0"/>
        <w:adjustRightInd w:val="0"/>
        <w:snapToGrid w:val="0"/>
        <w:spacing w:line="360" w:lineRule="auto"/>
        <w:ind w:left="76" w:leftChars="36" w:firstLine="420" w:firstLineChars="200"/>
        <w:textAlignment w:val="auto"/>
        <w:rPr>
          <w:rFonts w:ascii="宋体" w:hAnsi="宋体"/>
          <w:sz w:val="21"/>
          <w:szCs w:val="21"/>
          <w:highlight w:val="none"/>
        </w:rPr>
      </w:pPr>
      <w:r>
        <w:rPr>
          <w:rFonts w:hint="eastAsia" w:ascii="宋体" w:hAnsi="宋体"/>
          <w:sz w:val="21"/>
          <w:szCs w:val="21"/>
          <w:highlight w:val="none"/>
          <w:lang w:val="en-US" w:eastAsia="zh-CN"/>
        </w:rPr>
        <w:t>2、</w:t>
      </w:r>
      <w:r>
        <w:rPr>
          <w:rFonts w:hint="eastAsia" w:ascii="宋体" w:hAnsi="宋体"/>
          <w:sz w:val="21"/>
          <w:szCs w:val="21"/>
          <w:highlight w:val="none"/>
        </w:rPr>
        <w:t>在向高坡(或坑、沟)推土接近边缘时，推土铲不得轻易提升，应在挂上倒车档后，提铲倒车。</w:t>
      </w:r>
    </w:p>
    <w:p w14:paraId="2FC19E26">
      <w:pPr>
        <w:pageBreakBefore w:val="0"/>
        <w:shd w:val="clear"/>
        <w:kinsoku/>
        <w:wordWrap/>
        <w:overflowPunct/>
        <w:autoSpaceDE/>
        <w:autoSpaceDN/>
        <w:bidi w:val="0"/>
        <w:adjustRightInd w:val="0"/>
        <w:snapToGrid w:val="0"/>
        <w:spacing w:line="360" w:lineRule="auto"/>
        <w:ind w:left="76" w:leftChars="36" w:firstLine="420" w:firstLineChars="200"/>
        <w:textAlignment w:val="auto"/>
        <w:rPr>
          <w:rFonts w:ascii="宋体" w:hAnsi="宋体"/>
          <w:sz w:val="21"/>
          <w:szCs w:val="21"/>
          <w:highlight w:val="none"/>
        </w:rPr>
      </w:pPr>
      <w:r>
        <w:rPr>
          <w:rFonts w:hint="eastAsia" w:ascii="宋体" w:hAnsi="宋体"/>
          <w:sz w:val="21"/>
          <w:szCs w:val="21"/>
          <w:highlight w:val="none"/>
          <w:lang w:val="en-US" w:eastAsia="zh-CN"/>
        </w:rPr>
        <w:t>3、</w:t>
      </w:r>
      <w:r>
        <w:rPr>
          <w:rFonts w:hint="eastAsia" w:ascii="宋体" w:hAnsi="宋体"/>
          <w:sz w:val="21"/>
          <w:szCs w:val="21"/>
          <w:highlight w:val="none"/>
        </w:rPr>
        <w:t>推土机上坡行驶不得超过25°，下坡行驶不得超过35°，推土机不得在坡度大于10°的坡路上横向作业，并不得在陡坡上进行转弯。下坡行驶不准空档滑行。</w:t>
      </w:r>
    </w:p>
    <w:p w14:paraId="4B2DAF12">
      <w:pPr>
        <w:pageBreakBefore w:val="0"/>
        <w:shd w:val="clear"/>
        <w:kinsoku/>
        <w:wordWrap/>
        <w:overflowPunct/>
        <w:autoSpaceDE/>
        <w:autoSpaceDN/>
        <w:bidi w:val="0"/>
        <w:adjustRightInd w:val="0"/>
        <w:snapToGrid w:val="0"/>
        <w:spacing w:line="360" w:lineRule="auto"/>
        <w:ind w:left="134" w:leftChars="64" w:firstLine="420" w:firstLineChars="200"/>
        <w:textAlignment w:val="auto"/>
        <w:rPr>
          <w:rFonts w:ascii="宋体" w:hAnsi="宋体"/>
          <w:sz w:val="21"/>
          <w:szCs w:val="21"/>
          <w:highlight w:val="none"/>
        </w:rPr>
      </w:pPr>
      <w:r>
        <w:rPr>
          <w:rFonts w:hint="eastAsia" w:ascii="宋体" w:hAnsi="宋体"/>
          <w:sz w:val="21"/>
          <w:szCs w:val="21"/>
          <w:highlight w:val="none"/>
          <w:lang w:val="en-US" w:eastAsia="zh-CN"/>
        </w:rPr>
        <w:t>4、</w:t>
      </w:r>
      <w:r>
        <w:rPr>
          <w:rFonts w:hint="eastAsia" w:ascii="宋体" w:hAnsi="宋体"/>
          <w:sz w:val="21"/>
          <w:szCs w:val="21"/>
          <w:highlight w:val="none"/>
        </w:rPr>
        <w:t>用推土机清除高于机体并埋在地下的物体时，应有安全防范措施，要在选择好有利的进退路线后，方可作业。</w:t>
      </w:r>
    </w:p>
    <w:p w14:paraId="16F27112">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 xml:space="preserve"> </w:t>
      </w:r>
      <w:r>
        <w:rPr>
          <w:rFonts w:hint="eastAsia" w:ascii="宋体" w:hAnsi="宋体"/>
          <w:sz w:val="21"/>
          <w:szCs w:val="21"/>
          <w:highlight w:val="none"/>
          <w:lang w:val="en-US" w:eastAsia="zh-CN"/>
        </w:rPr>
        <w:t>5、</w:t>
      </w:r>
      <w:r>
        <w:rPr>
          <w:rFonts w:hint="eastAsia" w:ascii="宋体" w:hAnsi="宋体"/>
          <w:sz w:val="21"/>
          <w:szCs w:val="21"/>
          <w:highlight w:val="none"/>
        </w:rPr>
        <w:t>夜间作业时，现场应有良好的照明。</w:t>
      </w:r>
    </w:p>
    <w:p w14:paraId="5F37526A">
      <w:pPr>
        <w:pageBreakBefore w:val="0"/>
        <w:shd w:val="clear"/>
        <w:kinsoku/>
        <w:wordWrap/>
        <w:overflowPunct/>
        <w:autoSpaceDE/>
        <w:autoSpaceDN/>
        <w:bidi w:val="0"/>
        <w:adjustRightInd w:val="0"/>
        <w:snapToGrid w:val="0"/>
        <w:spacing w:line="360" w:lineRule="auto"/>
        <w:ind w:left="149" w:leftChars="71" w:firstLine="420" w:firstLineChars="200"/>
        <w:textAlignment w:val="auto"/>
        <w:rPr>
          <w:rFonts w:ascii="宋体" w:hAnsi="宋体"/>
          <w:sz w:val="21"/>
          <w:szCs w:val="21"/>
          <w:highlight w:val="none"/>
        </w:rPr>
      </w:pPr>
      <w:r>
        <w:rPr>
          <w:rFonts w:hint="eastAsia" w:ascii="宋体" w:hAnsi="宋体"/>
          <w:sz w:val="21"/>
          <w:szCs w:val="21"/>
          <w:highlight w:val="none"/>
          <w:lang w:val="en-US" w:eastAsia="zh-CN"/>
        </w:rPr>
        <w:t>6、</w:t>
      </w:r>
      <w:r>
        <w:rPr>
          <w:rFonts w:hint="eastAsia" w:ascii="宋体" w:hAnsi="宋体"/>
          <w:sz w:val="21"/>
          <w:szCs w:val="21"/>
          <w:highlight w:val="none"/>
        </w:rPr>
        <w:t>推土机在作业时，严禁人员上下。</w:t>
      </w:r>
    </w:p>
    <w:p w14:paraId="32BC4C99">
      <w:pPr>
        <w:pStyle w:val="15"/>
        <w:pageBreakBefore w:val="0"/>
        <w:shd w:val="clear"/>
        <w:kinsoku/>
        <w:wordWrap/>
        <w:overflowPunct/>
        <w:autoSpaceDE/>
        <w:autoSpaceDN/>
        <w:bidi w:val="0"/>
        <w:adjustRightInd w:val="0"/>
        <w:snapToGrid w:val="0"/>
        <w:spacing w:line="360" w:lineRule="auto"/>
        <w:ind w:firstLine="420" w:firstLineChars="200"/>
        <w:jc w:val="center"/>
        <w:textAlignment w:val="auto"/>
        <w:rPr>
          <w:rFonts w:ascii="宋体" w:hAnsi="宋体" w:cs="宋体"/>
          <w:b/>
          <w:bCs/>
          <w:sz w:val="21"/>
          <w:szCs w:val="21"/>
          <w:highlight w:val="none"/>
        </w:rPr>
      </w:pPr>
      <w:bookmarkStart w:id="50" w:name="_Toc1792"/>
      <w:bookmarkStart w:id="51" w:name="_Toc15362"/>
      <w:bookmarkStart w:id="52" w:name="_Toc2643"/>
      <w:r>
        <w:rPr>
          <w:rFonts w:hint="eastAsia" w:ascii="宋体" w:hAnsi="宋体" w:cs="宋体"/>
          <w:b/>
          <w:bCs/>
          <w:sz w:val="21"/>
          <w:szCs w:val="21"/>
          <w:highlight w:val="none"/>
        </w:rPr>
        <w:t>第十一节 机械操作工安全操作规程</w:t>
      </w:r>
      <w:bookmarkEnd w:id="50"/>
      <w:bookmarkEnd w:id="51"/>
      <w:bookmarkEnd w:id="52"/>
    </w:p>
    <w:p w14:paraId="5ABECBFE">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b/>
          <w:bCs/>
          <w:sz w:val="21"/>
          <w:szCs w:val="21"/>
          <w:highlight w:val="none"/>
        </w:rPr>
      </w:pPr>
      <w:r>
        <w:rPr>
          <w:rFonts w:hint="eastAsia" w:ascii="仿宋_GB2312"/>
          <w:b/>
          <w:bCs/>
          <w:sz w:val="21"/>
          <w:szCs w:val="21"/>
          <w:highlight w:val="none"/>
        </w:rPr>
        <w:t>（一）压刨、园盘锯安全操作规程</w:t>
      </w:r>
    </w:p>
    <w:p w14:paraId="656F8690">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1、机床只准采用单向开关，不准使用倒顺双向开关，三、四面刨，要按规定程序开动。</w:t>
      </w:r>
    </w:p>
    <w:p w14:paraId="06E56F6C">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2、送料、接料不准戴手套，并应站在机床一侧</w:t>
      </w:r>
      <w:r>
        <w:rPr>
          <w:rFonts w:ascii="仿宋_GB2312"/>
          <w:sz w:val="21"/>
          <w:szCs w:val="21"/>
          <w:highlight w:val="none"/>
        </w:rPr>
        <w:t>,</w:t>
      </w:r>
      <w:r>
        <w:rPr>
          <w:rFonts w:hint="eastAsia" w:ascii="仿宋_GB2312"/>
          <w:sz w:val="21"/>
          <w:szCs w:val="21"/>
          <w:highlight w:val="none"/>
        </w:rPr>
        <w:t>刨削量每次不得超过5mm。</w:t>
      </w:r>
    </w:p>
    <w:p w14:paraId="69D1E13B">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3、必须平直发现料走横或卡住，应停机降低台面拨正，遇硬节减慢速度，送料时手必须离开滚筒10厘米以外，接料必须待料走出台面。</w:t>
      </w:r>
    </w:p>
    <w:p w14:paraId="1F95C37B">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4、料长度不得短于前后压滚距离；厚度小于l厘米的木料，必须垫托板。</w:t>
      </w:r>
    </w:p>
    <w:p w14:paraId="063B2989">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5、锯护罩要齐全，不得随意拆除。</w:t>
      </w:r>
    </w:p>
    <w:p w14:paraId="6E49BA98">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6、操作前应进行检查，锯片不得有裂口，螺丝应上紧。</w:t>
      </w:r>
    </w:p>
    <w:p w14:paraId="5EF1EC54">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7、操作要戴防护镜，站在锯片一侧，禁止站在锯片同一直线上，手臂不得跨越锯片。遇硬节慢推，接料要待料出锯片15厘米，不得用手硬拉。</w:t>
      </w:r>
    </w:p>
    <w:p w14:paraId="4CA5F777">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8、短窄料应用推棍，接料使用刨钩。</w:t>
      </w:r>
    </w:p>
    <w:p w14:paraId="66A8C1D1">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b/>
          <w:bCs/>
          <w:sz w:val="21"/>
          <w:szCs w:val="21"/>
          <w:highlight w:val="none"/>
        </w:rPr>
      </w:pPr>
      <w:r>
        <w:rPr>
          <w:rFonts w:hint="eastAsia" w:ascii="仿宋_GB2312"/>
          <w:b/>
          <w:bCs/>
          <w:sz w:val="21"/>
          <w:szCs w:val="21"/>
          <w:highlight w:val="none"/>
        </w:rPr>
        <w:t>（二）钢筋冷拉机安全操作规程</w:t>
      </w:r>
    </w:p>
    <w:p w14:paraId="22963132">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1、根据冷拉钢筋的直径，合理选用卷扬机，卷扬钢丝绳应经封闭式导向滑轮并和被拉钢筋方向成直角。卷扬机的位置必须使操作人员能见到全部冷拉场地，距离冷拉中线不少于5m。</w:t>
      </w:r>
    </w:p>
    <w:p w14:paraId="2AEAE782">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2、冷拉场地在两端地锚外侧设置警戒区，装设防护栏杆及警告标志。严禁无关人员在此停留。操作人员在作业时必须离开钢筋至少2m以外。</w:t>
      </w:r>
    </w:p>
    <w:p w14:paraId="0B2B3D80">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3、用配重控制的设备必须与滑轮匹配，并有指示起落的记号，没有指示记号时应有专人指挥。配重物提起时高度应限制在离地面300mm以内，配重架四周应有栏杆及警告标志。</w:t>
      </w:r>
    </w:p>
    <w:p w14:paraId="30F9DD0E">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4、作业前，应检查冷拉夹具，夹齿必须完好，滑轮、拖拉小车润滑灵活，拉钩、地锚及防护装置均应齐全牢固，确认良好后，方可作业。</w:t>
      </w:r>
    </w:p>
    <w:p w14:paraId="2FC726A0">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5、卷扬机操作人员必须看到指挥人员发出信号，并待所有人员离开危险区后方可作业。冷拉应缓慢、均匀地进行，随时注意停车信号或见到有人进入危险区时，应立即停拉，并稍稍放松卷扬钢丝绳。</w:t>
      </w:r>
    </w:p>
    <w:p w14:paraId="00168764">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6、用延伸率控制的装置，必须装明显的限位标志，并要有专人负责指挥。</w:t>
      </w:r>
    </w:p>
    <w:p w14:paraId="606AD61A">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7、夜间工作照明设施，应设在张拉危险区外，如必须装设在场地上空时，其高度应超过5m，灯泡应加防护罩，导线不得用裸线。</w:t>
      </w:r>
    </w:p>
    <w:p w14:paraId="6AB9AD75">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8、作业后，应放松卷扬钢丝绳，落下配重，切断电源，锁好电闸箱。</w:t>
      </w:r>
    </w:p>
    <w:p w14:paraId="42CECD6B">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b/>
          <w:bCs/>
          <w:sz w:val="21"/>
          <w:szCs w:val="21"/>
          <w:highlight w:val="none"/>
        </w:rPr>
      </w:pPr>
      <w:r>
        <w:rPr>
          <w:rFonts w:hint="eastAsia" w:ascii="仿宋_GB2312"/>
          <w:b/>
          <w:bCs/>
          <w:sz w:val="21"/>
          <w:szCs w:val="21"/>
          <w:highlight w:val="none"/>
        </w:rPr>
        <w:t>（三）钢筋切断机安全操作规程</w:t>
      </w:r>
    </w:p>
    <w:p w14:paraId="2352D115">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1、接送料工作台面应和切刀下部保持水平，工作台的长度可根据加工材料长度决定。</w:t>
      </w:r>
    </w:p>
    <w:p w14:paraId="3C7D388C">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2、启动前，必须检查切刀应无裂纹，刀架螺栓紧固，防护罩牢靠，然后用手转动皮带轮，检查齿轮啮合间隙，调整切刀间隙。</w:t>
      </w:r>
    </w:p>
    <w:p w14:paraId="491381E5">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3、启动后先空转，检查各传动部分及轴承运转正常后方可作业。</w:t>
      </w:r>
    </w:p>
    <w:p w14:paraId="37CD6DF6">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4、机械未达到正常运转速时不得切料，切料时必须使用切刀的中下部位，紧握钢筋对准切口迅速送入。</w:t>
      </w:r>
    </w:p>
    <w:p w14:paraId="644D930B">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5、切断短料时，手和切刀之间的距离应保持150mm以上，如手握端小于40mm时应用套管或夹具将钢筋短头压住或夹牢。</w:t>
      </w:r>
    </w:p>
    <w:p w14:paraId="2D2588D7">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6、发现机械运转不正常有异响或切刀歪斜等情况，应立即停机检修。</w:t>
      </w:r>
    </w:p>
    <w:p w14:paraId="51C3314C">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7、作业后用钢刷清除切刀间的杂物，进行整机清洁保养。</w:t>
      </w:r>
    </w:p>
    <w:p w14:paraId="1346C875">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8、必须严格按操作规程操作。</w:t>
      </w:r>
    </w:p>
    <w:p w14:paraId="3EFEFFF5">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b/>
          <w:bCs/>
          <w:sz w:val="21"/>
          <w:szCs w:val="21"/>
          <w:highlight w:val="none"/>
        </w:rPr>
      </w:pPr>
      <w:r>
        <w:rPr>
          <w:rFonts w:hint="eastAsia" w:ascii="仿宋_GB2312"/>
          <w:b/>
          <w:bCs/>
          <w:sz w:val="21"/>
          <w:szCs w:val="21"/>
          <w:highlight w:val="none"/>
        </w:rPr>
        <w:t>（四）钢筋调直机安全操作规程</w:t>
      </w:r>
    </w:p>
    <w:p w14:paraId="10F9FA1C">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1、机械上不准堆放物品，以防机械震动落入机体。</w:t>
      </w:r>
    </w:p>
    <w:p w14:paraId="7070EFDD">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2、料架、料槽应安装平直，对准导向筒、调直筒和下切刀孔的中心线。</w:t>
      </w:r>
    </w:p>
    <w:p w14:paraId="160BEB64">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3、用手转动飞轮，检查传动机构和工作装置，调整间隙，紧固螺栓，确认正常后，启动空运转，检查轴承应无异响，齿轮啮合良好，待运转正常后，方可作业。</w:t>
      </w:r>
    </w:p>
    <w:p w14:paraId="03269099">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4、按调直钢筋的直径，选用适当的调直块及传动速度。经调试合格，方可送料。</w:t>
      </w:r>
    </w:p>
    <w:p w14:paraId="104FC9DA">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5、在调直块未固定、防护罩未盖好前不得送料。作业中严禁打开各部防护罩及调整间隙。</w:t>
      </w:r>
    </w:p>
    <w:p w14:paraId="539EB78E">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 xml:space="preserve">6、当钢筋送入后，手与曳轮必须保持一定距离，不得接近。  </w:t>
      </w:r>
    </w:p>
    <w:p w14:paraId="7D5A283B">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7、送料前应将不直的料头切去，导向筒前应装一根1m长的钢管，钢筋必须先穿过钢管再送入调直前端的导孔内。</w:t>
      </w:r>
    </w:p>
    <w:p w14:paraId="31855BCD">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8、钢筋调直到末端时，操作人员必须躲开，以防甩动伤人。</w:t>
      </w:r>
    </w:p>
    <w:p w14:paraId="46B0DDEF">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9、短于2米或直径大于9毫米的钢筋调直，应低速加工。</w:t>
      </w:r>
    </w:p>
    <w:p w14:paraId="380D707E">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10、作业后，应松开调直筒的调直块并回到原来位置，同时预压弹簧必须回位。</w:t>
      </w:r>
    </w:p>
    <w:p w14:paraId="6EB29CD5">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b/>
          <w:bCs/>
          <w:sz w:val="21"/>
          <w:szCs w:val="21"/>
          <w:highlight w:val="none"/>
        </w:rPr>
      </w:pPr>
      <w:r>
        <w:rPr>
          <w:rFonts w:hint="eastAsia" w:ascii="仿宋_GB2312"/>
          <w:b/>
          <w:bCs/>
          <w:sz w:val="21"/>
          <w:szCs w:val="21"/>
          <w:highlight w:val="none"/>
        </w:rPr>
        <w:t>（五）钢筋弯曲机安全操作规程</w:t>
      </w:r>
    </w:p>
    <w:p w14:paraId="38A408DC">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1、工作台和弯曲机台面要保持水平，并准备好各种芯轴及工具。</w:t>
      </w:r>
    </w:p>
    <w:p w14:paraId="56BAE24F">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2、按加工钢筋的直径和弯曲半径的要求装好芯轴、成型轴、挡铁轴或可变挡架，芯轴直径应为钢筋直径的2.5倍。</w:t>
      </w:r>
    </w:p>
    <w:p w14:paraId="2E6AFA59">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3、检查芯轴、挡块、转盘应无损坏和裂纹，防护罩紧固可靠，经空运转确认正常后，方可作业。</w:t>
      </w:r>
    </w:p>
    <w:p w14:paraId="1026FF50">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4、钢筋要贴紧挡板，注意放入插头的位置和回转方向，不得开错。</w:t>
      </w:r>
    </w:p>
    <w:p w14:paraId="6DA7864D">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 xml:space="preserve">5、作业时，将钢筋需弯的一头插在转盘固定销的间隙内，另一端紧靠机身固定销，并用手压紧，检查机身固定销子确实安在挡住钢筋的一侧，方可开动。  </w:t>
      </w:r>
    </w:p>
    <w:p w14:paraId="56FC0F1A">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6、作业中，严禁更换芯轴、销子和变换角度以及调速等作业，亦不得加油或清扫。</w:t>
      </w:r>
    </w:p>
    <w:p w14:paraId="45C120E8">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7、弯曲钢筋时，严禁超过本机规定的钢筋直径、根数及机械转速。</w:t>
      </w:r>
    </w:p>
    <w:p w14:paraId="03C1320E">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8、弯曲长钢筋，应有专人扶住，并站在钢筋弯曲方向的外面，互相配合，不得拖拉。</w:t>
      </w:r>
    </w:p>
    <w:p w14:paraId="68DD5302">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9、调头弯曲，防止碰撞人和物。更换插头，加油和清理，必须停机后进行。</w:t>
      </w:r>
    </w:p>
    <w:p w14:paraId="33360BE1">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10、弯曲高强度或低合金钢筋时，应按机械铭牌规定换算最大限制直径并调换相应的芯轴。</w:t>
      </w:r>
    </w:p>
    <w:p w14:paraId="542E571B">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lang w:val="en-US" w:eastAsia="zh-CN"/>
        </w:rPr>
        <w:t>11</w:t>
      </w:r>
      <w:r>
        <w:rPr>
          <w:rFonts w:hint="eastAsia" w:ascii="仿宋_GB2312"/>
          <w:sz w:val="21"/>
          <w:szCs w:val="21"/>
          <w:highlight w:val="none"/>
        </w:rPr>
        <w:t>、严禁在弯曲钢筋的作业半径内和机身不设固定销的一侧站人。弯曲好的半成品应堆放整齐，弯钩不得朝上。</w:t>
      </w:r>
    </w:p>
    <w:p w14:paraId="38662C0E">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12、转盘换向时，必须在停稳后进行。</w:t>
      </w:r>
    </w:p>
    <w:p w14:paraId="0B369CE4">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b/>
          <w:bCs/>
          <w:sz w:val="21"/>
          <w:szCs w:val="21"/>
          <w:highlight w:val="none"/>
        </w:rPr>
        <w:t>（六）钢筋电渣压力焊机安全操作规程</w:t>
      </w:r>
    </w:p>
    <w:p w14:paraId="6BB0933A">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1、应根据施焊钢筋直径选择具有足够输出电流的电焊机。电源电缆和控制电缆联接应正确、牢固。控制箱的外壳应牢靠接地。</w:t>
      </w:r>
    </w:p>
    <w:p w14:paraId="39671D2C">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2、施焊前，应检查供电电压并确认正常，当一次电压降大于8％时，不宜焊接。焊接导线长度不得大于30m，截面面积不得小于50mm</w:t>
      </w:r>
      <w:r>
        <w:rPr>
          <w:rFonts w:hint="eastAsia" w:ascii="仿宋_GB2312"/>
          <w:sz w:val="21"/>
          <w:szCs w:val="21"/>
          <w:highlight w:val="none"/>
          <w:vertAlign w:val="superscript"/>
        </w:rPr>
        <w:t>2</w:t>
      </w:r>
      <w:r>
        <w:rPr>
          <w:rFonts w:hint="eastAsia" w:ascii="仿宋_GB2312"/>
          <w:sz w:val="21"/>
          <w:szCs w:val="21"/>
          <w:highlight w:val="none"/>
        </w:rPr>
        <w:t>。</w:t>
      </w:r>
    </w:p>
    <w:p w14:paraId="52853B47">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3、施焊前应检查并确认电源及控制电路正常，定时准确，误差不大于5％，机具的传动系统、夹装系统及焊钳的转动部分灵活自如，焊剂已干燥，所需附件齐全。</w:t>
      </w:r>
    </w:p>
    <w:p w14:paraId="3A63EA3C">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4、施焊前，应按所焊钢筋的直径，根据参数表，标定好所需的电源和时间。一般情况下，时间(s)可为钢筋的直径数(mm)，电流(A)可为钢筋直径的10倍数(mm)。</w:t>
      </w:r>
    </w:p>
    <w:p w14:paraId="1E0C01C2">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 xml:space="preserve">5、起弧前，上、下钢筋应对齐，钢筋端头应接触良好。对锈蚀粘有水泥的钢筋，应采用钢丝刷清除，并保证导电良好。 </w:t>
      </w:r>
    </w:p>
    <w:p w14:paraId="6F75856C">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6、施焊过程中，应随时检查焊接质量，当发现倾斜、偏心、未熔合、有气孔等现象时，应重新施焊。</w:t>
      </w:r>
    </w:p>
    <w:p w14:paraId="605FEF04">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7、每个接头焊完后，应停留5～6min保温；寒冷季节应适当延长。当拆下机具时，应扶住钢筋，过热的接头不得过于受力。焊渣应待完全冷却后清除。</w:t>
      </w:r>
    </w:p>
    <w:p w14:paraId="2321FF0B">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b/>
          <w:bCs/>
          <w:sz w:val="21"/>
          <w:szCs w:val="21"/>
          <w:highlight w:val="none"/>
        </w:rPr>
      </w:pPr>
      <w:r>
        <w:rPr>
          <w:rFonts w:hint="eastAsia" w:ascii="仿宋_GB2312"/>
          <w:b/>
          <w:bCs/>
          <w:sz w:val="21"/>
          <w:szCs w:val="21"/>
          <w:highlight w:val="none"/>
        </w:rPr>
        <w:t>（七）卷扬机安全操作规程</w:t>
      </w:r>
    </w:p>
    <w:p w14:paraId="51EC8B97">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1、</w:t>
      </w:r>
      <w:r>
        <w:rPr>
          <w:rFonts w:hint="eastAsia"/>
          <w:sz w:val="21"/>
          <w:szCs w:val="21"/>
          <w:highlight w:val="none"/>
        </w:rPr>
        <w:t>卷</w:t>
      </w:r>
      <w:r>
        <w:rPr>
          <w:rFonts w:hint="eastAsia" w:ascii="仿宋_GB2312"/>
          <w:sz w:val="21"/>
          <w:szCs w:val="21"/>
          <w:highlight w:val="none"/>
        </w:rPr>
        <w:t>扬机操作手必须熟悉本机械的性能、构造、操作方法。持证上岗。</w:t>
      </w:r>
    </w:p>
    <w:p w14:paraId="3F9A23DF">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2、操作前，要检查卷扬机的地锚、上料架是否牢固，同时要检查离合器、制动器是否灵敏可靠。外露皮带、齿轮等传动装置、防护罩是否齐全。</w:t>
      </w:r>
    </w:p>
    <w:p w14:paraId="13972EE9">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 xml:space="preserve">3、钢丝绳排列要整齐，在提升吊兰的过程中，在卷筒上  至少要保留3～5圈，钢丝绳的磨损程度不超过10％，通过滑轮的钢丝绳不能有接头。 </w:t>
      </w:r>
    </w:p>
    <w:p w14:paraId="0BBCE46B">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4、卷扬机应有专人使用和保养，经常检查接地线路是否良好，如发现电气设备漏电或其他故障时及时报告工长。不得擅自修理。</w:t>
      </w:r>
    </w:p>
    <w:p w14:paraId="43B31C68">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5、吊篮必须装有安全门，只能提升物料，严禁载人。吊篮在空中停留，除使用制动器外，同时要用停放架垫好。严禁有人跨越钢丝绳在吊篮下面行走。</w:t>
      </w:r>
    </w:p>
    <w:p w14:paraId="10556516">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6、上料架必须有良好的接地和避雷装置。每周要检查一次限位器是否灵活可靠。吊篮提重物时，砖、灰不能超过0.5吨，严禁运送超重、超长物品。</w:t>
      </w:r>
    </w:p>
    <w:p w14:paraId="60CDD1D6">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7、作业中停电时，应切断电源。将提升物件或吊兰篮降至地面。</w:t>
      </w:r>
    </w:p>
    <w:p w14:paraId="7FCAFA7C">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8、操作完毕，应将提升吊篮或物件降至地面，并应切断电源，锁好开关箱。</w:t>
      </w:r>
    </w:p>
    <w:p w14:paraId="18807A31">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b/>
          <w:bCs/>
          <w:sz w:val="21"/>
          <w:szCs w:val="21"/>
          <w:highlight w:val="none"/>
        </w:rPr>
      </w:pPr>
      <w:r>
        <w:rPr>
          <w:rFonts w:hint="eastAsia" w:ascii="仿宋_GB2312"/>
          <w:b/>
          <w:bCs/>
          <w:sz w:val="21"/>
          <w:szCs w:val="21"/>
          <w:highlight w:val="none"/>
        </w:rPr>
        <w:t>（八）翻斗车安全操作规程</w:t>
      </w:r>
    </w:p>
    <w:p w14:paraId="05EBB5C6">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1、行驶前，应检查锁紧装置，并将料斗锁牢，不得在行驶时掉斗。</w:t>
      </w:r>
    </w:p>
    <w:p w14:paraId="05396324">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2、行驶时应从一档起步，不得用离合器处于半结合状态来控制车速。</w:t>
      </w:r>
    </w:p>
    <w:p w14:paraId="746BE90F">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3、翻斗制动时，应逐渐踏下制动踏板，并应避免紧急制动。</w:t>
      </w:r>
    </w:p>
    <w:p w14:paraId="1B0C6284">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4、严禁料斗内载人，料斗不得在卸料情况下行驶或进行平地作业。</w:t>
      </w:r>
    </w:p>
    <w:p w14:paraId="207524C1">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5、内燃机运转或料斗内载荷时，严禁在车底下进行任何作业。</w:t>
      </w:r>
    </w:p>
    <w:p w14:paraId="500560C2">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6、操作人员离机时，应将内燃机熄火，并摘档拉紧手制动器。</w:t>
      </w:r>
    </w:p>
    <w:p w14:paraId="1D96E574">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7、作业后，应对车辆进行清洗，清除砂土及混凝土等粘结在料斗和车架上的脏物。</w:t>
      </w:r>
    </w:p>
    <w:p w14:paraId="7F1EF317">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b/>
          <w:bCs/>
          <w:sz w:val="21"/>
          <w:szCs w:val="21"/>
          <w:highlight w:val="none"/>
        </w:rPr>
      </w:pPr>
      <w:r>
        <w:rPr>
          <w:rFonts w:hint="eastAsia" w:ascii="仿宋_GB2312"/>
          <w:b/>
          <w:bCs/>
          <w:sz w:val="21"/>
          <w:szCs w:val="21"/>
          <w:highlight w:val="none"/>
        </w:rPr>
        <w:t>（九）打夯机安全操作规程</w:t>
      </w:r>
    </w:p>
    <w:p w14:paraId="6DCD7FBE">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1、夯机使用前检查绝缘线路、漏电保护器、定向开关、皮带、偏心块等，确认无问题方可使用。</w:t>
      </w:r>
    </w:p>
    <w:p w14:paraId="62329B01">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2、夯机操作时，要两人操作：一人扶夯机，一人整理线路，防止夯头夯打电源线。</w:t>
      </w:r>
    </w:p>
    <w:p w14:paraId="64230EC8">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3、夯机拐弯时，不得猛拐和撒把不扶任其自由行走。</w:t>
      </w:r>
    </w:p>
    <w:p w14:paraId="3FF96C08">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4、夯机作业时，机前2米内不得有人，多台夯机夯打时，其左右距离不得小于5米，作业人员穿绝缘鞋、戴绝缘手套。</w:t>
      </w:r>
    </w:p>
    <w:p w14:paraId="33A70199">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5、随机的电源线应保持3-4米的余量，发现电源线缠绕、破裂时要及时断电，停止作业，马上修理。</w:t>
      </w:r>
    </w:p>
    <w:p w14:paraId="01734879">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6、挪夯机前要断电，绑好偏心块，盘好缆线。工作完后断电锁好，放在干燥处。</w:t>
      </w:r>
    </w:p>
    <w:p w14:paraId="3E9077CE">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b/>
          <w:bCs/>
          <w:sz w:val="21"/>
          <w:szCs w:val="21"/>
          <w:highlight w:val="none"/>
        </w:rPr>
      </w:pPr>
      <w:r>
        <w:rPr>
          <w:rFonts w:hint="eastAsia" w:ascii="仿宋_GB2312"/>
          <w:b/>
          <w:bCs/>
          <w:sz w:val="21"/>
          <w:szCs w:val="21"/>
          <w:highlight w:val="none"/>
        </w:rPr>
        <w:t>（十）砼振捣器安全操作规程</w:t>
      </w:r>
    </w:p>
    <w:p w14:paraId="7BE59433">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1、在使用前检查部件和软轴接线是否正确，试运转后，方可使用。</w:t>
      </w:r>
    </w:p>
    <w:p w14:paraId="1A579459">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2、单设电源线和电源箱，箱内要有漏电保护器，电机外壳做好接零保护。工作时两人操作：一人持棒，一人看电机，随时挪电机不得拖拉。</w:t>
      </w:r>
    </w:p>
    <w:p w14:paraId="64D912E7">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3、操作人员穿绝缘鞋、戴绝缘手套。</w:t>
      </w:r>
    </w:p>
    <w:p w14:paraId="05B456FF">
      <w:pPr>
        <w:pageBreakBefore w:val="0"/>
        <w:shd w:val="clear"/>
        <w:kinsoku/>
        <w:wordWrap/>
        <w:overflowPunct/>
        <w:autoSpaceDE/>
        <w:autoSpaceDN/>
        <w:bidi w:val="0"/>
        <w:adjustRightInd w:val="0"/>
        <w:snapToGrid w:val="0"/>
        <w:spacing w:line="360" w:lineRule="auto"/>
        <w:ind w:firstLine="420" w:firstLineChars="200"/>
        <w:textAlignment w:val="auto"/>
        <w:rPr>
          <w:rFonts w:ascii="仿宋_GB2312"/>
          <w:sz w:val="21"/>
          <w:szCs w:val="21"/>
          <w:highlight w:val="none"/>
        </w:rPr>
      </w:pPr>
      <w:r>
        <w:rPr>
          <w:rFonts w:hint="eastAsia" w:ascii="仿宋_GB2312"/>
          <w:sz w:val="21"/>
          <w:szCs w:val="21"/>
          <w:highlight w:val="none"/>
        </w:rPr>
        <w:t>4、振捣器软轴弯曲半径不得小于50厘米，并不得多于2个弯，操作时振捣棒自然垂直地沉入砼，不得用力硬插，斜推或使钢筋加住棒头，也不得全部插入砼中。</w:t>
      </w:r>
    </w:p>
    <w:p w14:paraId="5812103F">
      <w:pPr>
        <w:adjustRightInd w:val="0"/>
        <w:snapToGrid w:val="0"/>
        <w:spacing w:line="360" w:lineRule="auto"/>
        <w:rPr>
          <w:rFonts w:hint="eastAsia" w:ascii="仿宋_GB2312"/>
          <w:sz w:val="21"/>
          <w:szCs w:val="21"/>
          <w:highlight w:val="none"/>
        </w:rPr>
      </w:pPr>
      <w:r>
        <w:rPr>
          <w:rFonts w:hint="eastAsia" w:ascii="仿宋_GB2312"/>
          <w:sz w:val="21"/>
          <w:szCs w:val="21"/>
          <w:highlight w:val="none"/>
        </w:rPr>
        <w:t>5、用完的振捣棒先断电，再盘好缆线，电机放在干燥处防止受潮造成电机烧毁现象。</w:t>
      </w:r>
    </w:p>
    <w:p w14:paraId="5AE77DB0">
      <w:pPr>
        <w:ind w:left="0" w:leftChars="0" w:firstLine="0" w:firstLineChars="0"/>
        <w:rPr>
          <w:b/>
          <w:highlight w:val="none"/>
        </w:rPr>
      </w:pPr>
    </w:p>
    <w:p w14:paraId="53A20130">
      <w:pPr>
        <w:pageBreakBefore w:val="0"/>
        <w:shd w:val="clear"/>
        <w:kinsoku/>
        <w:wordWrap/>
        <w:overflowPunct/>
        <w:autoSpaceDE/>
        <w:autoSpaceDN/>
        <w:bidi w:val="0"/>
        <w:adjustRightInd w:val="0"/>
        <w:snapToGrid w:val="0"/>
        <w:spacing w:line="360" w:lineRule="auto"/>
        <w:jc w:val="both"/>
        <w:textAlignment w:val="auto"/>
        <w:rPr>
          <w:rFonts w:hint="eastAsia" w:ascii="仿宋" w:hAnsi="仿宋" w:eastAsia="仿宋" w:cs="仿宋"/>
          <w:b/>
          <w:bCs/>
          <w:sz w:val="36"/>
          <w:szCs w:val="36"/>
          <w:highlight w:val="none"/>
        </w:rPr>
      </w:pPr>
    </w:p>
    <w:p w14:paraId="30E90B50">
      <w:pPr>
        <w:pageBreakBefore w:val="0"/>
        <w:shd w:val="clear"/>
        <w:kinsoku/>
        <w:wordWrap/>
        <w:overflowPunct/>
        <w:autoSpaceDE/>
        <w:autoSpaceDN/>
        <w:bidi w:val="0"/>
        <w:adjustRightInd w:val="0"/>
        <w:snapToGrid w:val="0"/>
        <w:spacing w:line="360" w:lineRule="auto"/>
        <w:jc w:val="both"/>
        <w:textAlignment w:val="auto"/>
        <w:rPr>
          <w:rFonts w:hint="eastAsia" w:ascii="仿宋" w:hAnsi="仿宋" w:eastAsia="仿宋" w:cs="仿宋"/>
          <w:b/>
          <w:bCs/>
          <w:sz w:val="36"/>
          <w:szCs w:val="36"/>
          <w:highlight w:val="none"/>
        </w:rPr>
      </w:pPr>
    </w:p>
    <w:p w14:paraId="0C40F73E">
      <w:pPr>
        <w:pageBreakBefore w:val="0"/>
        <w:shd w:val="clear"/>
        <w:kinsoku/>
        <w:wordWrap/>
        <w:overflowPunct/>
        <w:autoSpaceDE/>
        <w:autoSpaceDN/>
        <w:bidi w:val="0"/>
        <w:adjustRightInd w:val="0"/>
        <w:snapToGrid w:val="0"/>
        <w:spacing w:line="360" w:lineRule="auto"/>
        <w:jc w:val="both"/>
        <w:textAlignment w:val="auto"/>
        <w:rPr>
          <w:rFonts w:hint="eastAsia" w:ascii="仿宋" w:hAnsi="仿宋" w:eastAsia="仿宋" w:cs="仿宋"/>
          <w:b/>
          <w:bCs/>
          <w:sz w:val="36"/>
          <w:szCs w:val="36"/>
          <w:highlight w:val="none"/>
        </w:rPr>
      </w:pPr>
    </w:p>
    <w:p w14:paraId="4E5ED562">
      <w:pPr>
        <w:pageBreakBefore w:val="0"/>
        <w:shd w:val="clear"/>
        <w:kinsoku/>
        <w:wordWrap/>
        <w:overflowPunct/>
        <w:autoSpaceDE/>
        <w:autoSpaceDN/>
        <w:bidi w:val="0"/>
        <w:adjustRightInd w:val="0"/>
        <w:snapToGrid w:val="0"/>
        <w:spacing w:line="360" w:lineRule="auto"/>
        <w:ind w:firstLine="723" w:firstLineChars="200"/>
        <w:jc w:val="center"/>
        <w:textAlignment w:val="auto"/>
        <w:rPr>
          <w:rFonts w:hint="eastAsia" w:ascii="仿宋" w:hAnsi="仿宋" w:eastAsia="仿宋" w:cs="仿宋"/>
          <w:b/>
          <w:bCs/>
          <w:sz w:val="36"/>
          <w:szCs w:val="36"/>
          <w:highlight w:val="none"/>
          <w:lang w:val="en-US" w:eastAsia="zh-CN"/>
        </w:rPr>
      </w:pPr>
      <w:r>
        <w:rPr>
          <w:rFonts w:hint="eastAsia" w:ascii="仿宋" w:hAnsi="仿宋" w:eastAsia="仿宋" w:cs="仿宋"/>
          <w:b/>
          <w:bCs/>
          <w:sz w:val="36"/>
          <w:szCs w:val="36"/>
          <w:highlight w:val="none"/>
        </w:rPr>
        <w:t>第</w:t>
      </w:r>
      <w:r>
        <w:rPr>
          <w:rFonts w:hint="eastAsia" w:ascii="仿宋" w:hAnsi="仿宋" w:eastAsia="仿宋" w:cs="仿宋"/>
          <w:b/>
          <w:bCs/>
          <w:sz w:val="36"/>
          <w:szCs w:val="36"/>
          <w:highlight w:val="none"/>
          <w:lang w:val="en-US" w:eastAsia="zh-CN"/>
        </w:rPr>
        <w:t>五</w:t>
      </w:r>
      <w:r>
        <w:rPr>
          <w:rFonts w:hint="eastAsia" w:ascii="仿宋" w:hAnsi="仿宋" w:eastAsia="仿宋" w:cs="仿宋"/>
          <w:b/>
          <w:bCs/>
          <w:sz w:val="36"/>
          <w:szCs w:val="36"/>
          <w:highlight w:val="none"/>
        </w:rPr>
        <w:t>章  投标文件编制</w:t>
      </w:r>
      <w:bookmarkEnd w:id="17"/>
      <w:bookmarkEnd w:id="18"/>
      <w:r>
        <w:rPr>
          <w:rFonts w:hint="eastAsia" w:ascii="仿宋" w:hAnsi="仿宋" w:eastAsia="仿宋" w:cs="仿宋"/>
          <w:b/>
          <w:bCs/>
          <w:sz w:val="36"/>
          <w:szCs w:val="36"/>
          <w:highlight w:val="none"/>
          <w:lang w:val="en-US" w:eastAsia="zh-CN"/>
        </w:rPr>
        <w:t>要求</w:t>
      </w:r>
    </w:p>
    <w:p w14:paraId="658BB1CE">
      <w:pPr>
        <w:pageBreakBefore w:val="0"/>
        <w:shd w:val="clear"/>
        <w:kinsoku/>
        <w:wordWrap/>
        <w:overflowPunct/>
        <w:autoSpaceDE/>
        <w:autoSpaceDN/>
        <w:bidi w:val="0"/>
        <w:adjustRightInd w:val="0"/>
        <w:snapToGrid w:val="0"/>
        <w:spacing w:line="360" w:lineRule="auto"/>
        <w:ind w:firstLine="720" w:firstLineChars="200"/>
        <w:textAlignment w:val="auto"/>
        <w:rPr>
          <w:rFonts w:hint="eastAsia" w:ascii="仿宋" w:hAnsi="仿宋" w:eastAsia="仿宋" w:cs="仿宋"/>
          <w:sz w:val="36"/>
          <w:szCs w:val="36"/>
          <w:highlight w:val="none"/>
          <w:lang w:val="en-US" w:eastAsia="zh-CN"/>
        </w:rPr>
      </w:pPr>
    </w:p>
    <w:p w14:paraId="6D919348">
      <w:pPr>
        <w:pageBreakBefore w:val="0"/>
        <w:shd w:val="clear"/>
        <w:kinsoku/>
        <w:wordWrap/>
        <w:overflowPunct/>
        <w:autoSpaceDE/>
        <w:autoSpaceDN/>
        <w:bidi w:val="0"/>
        <w:adjustRightInd w:val="0"/>
        <w:snapToGrid w:val="0"/>
        <w:spacing w:line="360" w:lineRule="auto"/>
        <w:ind w:firstLine="560" w:firstLineChars="200"/>
        <w:textAlignment w:val="auto"/>
        <w:rPr>
          <w:rFonts w:ascii="仿宋" w:hAnsi="仿宋" w:eastAsia="仿宋" w:cs="仿宋"/>
          <w:sz w:val="28"/>
          <w:szCs w:val="28"/>
          <w:highlight w:val="none"/>
        </w:rPr>
      </w:pPr>
      <w:r>
        <w:rPr>
          <w:rFonts w:hint="eastAsia" w:ascii="仿宋" w:hAnsi="仿宋" w:eastAsia="仿宋" w:cs="仿宋"/>
          <w:sz w:val="28"/>
          <w:szCs w:val="28"/>
          <w:highlight w:val="none"/>
        </w:rPr>
        <w:t>1.应按本文件规定的格式、顺序制作</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每页必须加盖公章</w:t>
      </w:r>
      <w:r>
        <w:rPr>
          <w:rFonts w:hint="eastAsia" w:ascii="仿宋" w:hAnsi="仿宋" w:eastAsia="仿宋" w:cs="仿宋"/>
          <w:sz w:val="28"/>
          <w:szCs w:val="28"/>
          <w:highlight w:val="none"/>
        </w:rPr>
        <w:t>。</w:t>
      </w:r>
    </w:p>
    <w:p w14:paraId="711A5B67">
      <w:pPr>
        <w:pageBreakBefore w:val="0"/>
        <w:shd w:val="clear"/>
        <w:kinsoku/>
        <w:wordWrap/>
        <w:overflowPunct/>
        <w:autoSpaceDE/>
        <w:autoSpaceDN/>
        <w:bidi w:val="0"/>
        <w:adjustRightInd w:val="0"/>
        <w:snapToGrid w:val="0"/>
        <w:spacing w:line="360" w:lineRule="auto"/>
        <w:ind w:firstLine="560" w:firstLineChars="200"/>
        <w:textAlignment w:val="auto"/>
        <w:rPr>
          <w:sz w:val="28"/>
          <w:szCs w:val="28"/>
          <w:highlight w:val="none"/>
        </w:rPr>
      </w:pPr>
      <w:r>
        <w:rPr>
          <w:rFonts w:hint="eastAsia" w:ascii="仿宋" w:hAnsi="仿宋" w:eastAsia="仿宋" w:cs="仿宋"/>
          <w:sz w:val="28"/>
          <w:szCs w:val="28"/>
          <w:highlight w:val="none"/>
        </w:rPr>
        <w:t>2.投标文件一式</w:t>
      </w:r>
      <w:r>
        <w:rPr>
          <w:rFonts w:hint="eastAsia" w:ascii="仿宋" w:hAnsi="仿宋" w:eastAsia="仿宋" w:cs="仿宋"/>
          <w:sz w:val="28"/>
          <w:szCs w:val="28"/>
          <w:highlight w:val="none"/>
          <w:lang w:val="en-US" w:eastAsia="zh-CN"/>
        </w:rPr>
        <w:t>四</w:t>
      </w:r>
      <w:r>
        <w:rPr>
          <w:rFonts w:hint="eastAsia" w:ascii="仿宋" w:hAnsi="仿宋" w:eastAsia="仿宋" w:cs="仿宋"/>
          <w:sz w:val="28"/>
          <w:szCs w:val="28"/>
          <w:highlight w:val="none"/>
        </w:rPr>
        <w:t>份。</w:t>
      </w:r>
    </w:p>
    <w:p w14:paraId="27DB2BA5">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rPr>
        <w:t>3.投标文件</w:t>
      </w:r>
      <w:r>
        <w:rPr>
          <w:rFonts w:hint="eastAsia" w:ascii="仿宋" w:hAnsi="仿宋" w:eastAsia="仿宋" w:cs="仿宋"/>
          <w:sz w:val="28"/>
          <w:szCs w:val="28"/>
          <w:highlight w:val="none"/>
          <w:lang w:val="en-US" w:eastAsia="zh-CN"/>
        </w:rPr>
        <w:t>装订后</w:t>
      </w:r>
      <w:r>
        <w:rPr>
          <w:rFonts w:hint="eastAsia" w:ascii="仿宋" w:hAnsi="仿宋" w:eastAsia="仿宋" w:cs="仿宋"/>
          <w:sz w:val="28"/>
          <w:szCs w:val="28"/>
          <w:highlight w:val="none"/>
        </w:rPr>
        <w:t>用密封袋密封，在密封袋上注明投标日期和投标人名称（全称）并盖公章</w:t>
      </w:r>
      <w:r>
        <w:rPr>
          <w:rFonts w:hint="eastAsia" w:ascii="仿宋" w:hAnsi="仿宋" w:eastAsia="仿宋" w:cs="仿宋"/>
          <w:sz w:val="28"/>
          <w:szCs w:val="28"/>
          <w:highlight w:val="none"/>
          <w:lang w:eastAsia="zh-CN"/>
        </w:rPr>
        <w:t>。</w:t>
      </w:r>
    </w:p>
    <w:p w14:paraId="5D7CDC87">
      <w:pPr>
        <w:pageBreakBefore w:val="0"/>
        <w:shd w:val="clear"/>
        <w:kinsoku/>
        <w:wordWrap/>
        <w:overflowPunct/>
        <w:autoSpaceDE/>
        <w:autoSpaceDN/>
        <w:bidi w:val="0"/>
        <w:adjustRightInd w:val="0"/>
        <w:snapToGrid w:val="0"/>
        <w:spacing w:line="360" w:lineRule="auto"/>
        <w:ind w:firstLine="560" w:firstLineChars="200"/>
        <w:textAlignment w:val="auto"/>
        <w:rPr>
          <w:rFonts w:hint="eastAsia" w:ascii="仿宋" w:hAnsi="仿宋" w:eastAsia="仿宋" w:cs="仿宋"/>
          <w:b/>
          <w:bCs/>
          <w:color w:val="auto"/>
          <w:kern w:val="0"/>
          <w:sz w:val="28"/>
          <w:szCs w:val="28"/>
          <w:highlight w:val="none"/>
          <w:lang w:bidi="ar"/>
        </w:rPr>
      </w:pPr>
      <w:r>
        <w:rPr>
          <w:rFonts w:hint="eastAsia" w:ascii="仿宋" w:hAnsi="仿宋" w:eastAsia="仿宋" w:cs="仿宋"/>
          <w:sz w:val="28"/>
          <w:szCs w:val="28"/>
          <w:highlight w:val="none"/>
          <w:lang w:val="en-US" w:eastAsia="zh-CN"/>
        </w:rPr>
        <w:t>4.</w:t>
      </w:r>
      <w:r>
        <w:rPr>
          <w:rFonts w:hint="eastAsia" w:ascii="仿宋" w:hAnsi="仿宋" w:eastAsia="仿宋" w:cs="仿宋"/>
          <w:b/>
          <w:bCs/>
          <w:color w:val="auto"/>
          <w:kern w:val="0"/>
          <w:sz w:val="28"/>
          <w:szCs w:val="28"/>
          <w:highlight w:val="none"/>
          <w:lang w:val="en-US" w:eastAsia="zh-CN" w:bidi="ar"/>
        </w:rPr>
        <w:t>不</w:t>
      </w:r>
      <w:r>
        <w:rPr>
          <w:rFonts w:hint="eastAsia" w:ascii="仿宋" w:hAnsi="仿宋" w:eastAsia="仿宋" w:cs="仿宋"/>
          <w:b/>
          <w:bCs/>
          <w:color w:val="auto"/>
          <w:kern w:val="0"/>
          <w:sz w:val="28"/>
          <w:szCs w:val="28"/>
          <w:highlight w:val="none"/>
          <w:lang w:bidi="ar"/>
        </w:rPr>
        <w:t>分册胶装：纸质响应文件胶装成册。</w:t>
      </w:r>
    </w:p>
    <w:p w14:paraId="76FCAEB4">
      <w:pPr>
        <w:pageBreakBefore w:val="0"/>
        <w:shd w:val="clear"/>
        <w:kinsoku/>
        <w:wordWrap/>
        <w:overflowPunct/>
        <w:autoSpaceDE/>
        <w:autoSpaceDN/>
        <w:bidi w:val="0"/>
        <w:adjustRightInd w:val="0"/>
        <w:snapToGrid w:val="0"/>
        <w:spacing w:line="360" w:lineRule="auto"/>
        <w:ind w:firstLine="562" w:firstLineChars="200"/>
        <w:textAlignment w:val="auto"/>
        <w:rPr>
          <w:rFonts w:hint="eastAsia" w:ascii="仿宋" w:hAnsi="仿宋" w:eastAsia="仿宋" w:cs="仿宋"/>
          <w:b w:val="0"/>
          <w:bCs w:val="0"/>
          <w:sz w:val="28"/>
          <w:szCs w:val="28"/>
          <w:highlight w:val="none"/>
          <w:lang w:val="en-US" w:eastAsia="zh-CN"/>
        </w:rPr>
      </w:pPr>
      <w:r>
        <w:rPr>
          <w:rFonts w:hint="eastAsia" w:ascii="仿宋" w:hAnsi="仿宋" w:eastAsia="仿宋" w:cs="仿宋"/>
          <w:b/>
          <w:bCs/>
          <w:color w:val="auto"/>
          <w:kern w:val="0"/>
          <w:sz w:val="28"/>
          <w:szCs w:val="28"/>
          <w:highlight w:val="none"/>
          <w:lang w:val="en-US" w:eastAsia="zh-CN" w:bidi="ar"/>
        </w:rPr>
        <w:t>5.</w:t>
      </w:r>
      <w:r>
        <w:rPr>
          <w:rFonts w:hint="eastAsia" w:ascii="仿宋" w:hAnsi="仿宋" w:eastAsia="仿宋" w:cs="仿宋"/>
          <w:color w:val="auto"/>
          <w:kern w:val="0"/>
          <w:sz w:val="28"/>
          <w:szCs w:val="28"/>
          <w:highlight w:val="none"/>
          <w:lang w:bidi="ar"/>
        </w:rPr>
        <w:t>每册将大小不一的文件材料（文件材料包括</w:t>
      </w:r>
      <w:r>
        <w:rPr>
          <w:rFonts w:hint="eastAsia" w:ascii="仿宋" w:hAnsi="仿宋" w:eastAsia="仿宋" w:cs="仿宋"/>
          <w:color w:val="auto"/>
          <w:kern w:val="0"/>
          <w:sz w:val="28"/>
          <w:szCs w:val="28"/>
          <w:highlight w:val="none"/>
          <w:lang w:eastAsia="zh-CN" w:bidi="ar"/>
        </w:rPr>
        <w:t>供应商</w:t>
      </w:r>
      <w:r>
        <w:rPr>
          <w:rFonts w:hint="eastAsia" w:ascii="仿宋" w:hAnsi="仿宋" w:eastAsia="仿宋" w:cs="仿宋"/>
          <w:color w:val="auto"/>
          <w:kern w:val="0"/>
          <w:sz w:val="28"/>
          <w:szCs w:val="28"/>
          <w:highlight w:val="none"/>
          <w:lang w:bidi="ar"/>
        </w:rPr>
        <w:t>所递交的所有资料，如产品彩页、图纸等）折叠成A4纸面大小制作，</w:t>
      </w:r>
      <w:r>
        <w:rPr>
          <w:rFonts w:hint="eastAsia" w:ascii="仿宋" w:hAnsi="仿宋" w:eastAsia="仿宋" w:cs="仿宋"/>
          <w:b/>
          <w:bCs/>
          <w:color w:val="auto"/>
          <w:kern w:val="0"/>
          <w:sz w:val="28"/>
          <w:szCs w:val="28"/>
          <w:highlight w:val="none"/>
          <w:lang w:bidi="ar"/>
        </w:rPr>
        <w:t>左侧胶装成册(不得打钉)</w:t>
      </w:r>
      <w:r>
        <w:rPr>
          <w:rFonts w:hint="eastAsia" w:ascii="仿宋" w:hAnsi="仿宋" w:eastAsia="仿宋" w:cs="仿宋"/>
          <w:color w:val="auto"/>
          <w:kern w:val="0"/>
          <w:sz w:val="28"/>
          <w:szCs w:val="28"/>
          <w:highlight w:val="none"/>
          <w:lang w:bidi="ar"/>
        </w:rPr>
        <w:t>。</w:t>
      </w:r>
    </w:p>
    <w:p w14:paraId="56368412">
      <w:pPr>
        <w:pageBreakBefore w:val="0"/>
        <w:shd w:val="clear"/>
        <w:kinsoku/>
        <w:wordWrap/>
        <w:overflowPunct/>
        <w:autoSpaceDE/>
        <w:autoSpaceDN/>
        <w:bidi w:val="0"/>
        <w:adjustRightInd w:val="0"/>
        <w:snapToGrid w:val="0"/>
        <w:spacing w:line="360" w:lineRule="auto"/>
        <w:jc w:val="center"/>
        <w:textAlignment w:val="auto"/>
        <w:rPr>
          <w:rFonts w:hint="eastAsia" w:ascii="仿宋" w:hAnsi="仿宋" w:eastAsia="仿宋" w:cs="仿宋"/>
          <w:sz w:val="32"/>
          <w:szCs w:val="32"/>
          <w:highlight w:val="none"/>
          <w:lang w:val="en-US" w:eastAsia="zh-CN"/>
        </w:rPr>
      </w:pPr>
    </w:p>
    <w:p w14:paraId="439C21DB">
      <w:pPr>
        <w:pageBreakBefore w:val="0"/>
        <w:shd w:val="clear"/>
        <w:kinsoku/>
        <w:wordWrap/>
        <w:overflowPunct/>
        <w:autoSpaceDE/>
        <w:autoSpaceDN/>
        <w:bidi w:val="0"/>
        <w:adjustRightInd w:val="0"/>
        <w:snapToGrid w:val="0"/>
        <w:spacing w:line="360" w:lineRule="auto"/>
        <w:jc w:val="center"/>
        <w:textAlignment w:val="auto"/>
        <w:rPr>
          <w:rFonts w:hint="eastAsia" w:ascii="黑体" w:hAnsi="黑体" w:eastAsia="黑体"/>
          <w:bCs/>
          <w:spacing w:val="20"/>
          <w:sz w:val="28"/>
          <w:szCs w:val="28"/>
          <w:highlight w:val="none"/>
          <w:u w:val="single"/>
          <w:lang w:val="en-US" w:eastAsia="zh-CN"/>
        </w:rPr>
      </w:pPr>
    </w:p>
    <w:p w14:paraId="3047931B">
      <w:pPr>
        <w:pageBreakBefore w:val="0"/>
        <w:shd w:val="clear"/>
        <w:kinsoku/>
        <w:wordWrap/>
        <w:overflowPunct/>
        <w:autoSpaceDE/>
        <w:autoSpaceDN/>
        <w:bidi w:val="0"/>
        <w:adjustRightInd w:val="0"/>
        <w:snapToGrid w:val="0"/>
        <w:spacing w:line="360" w:lineRule="auto"/>
        <w:jc w:val="center"/>
        <w:textAlignment w:val="auto"/>
        <w:rPr>
          <w:rFonts w:hint="eastAsia" w:ascii="黑体" w:hAnsi="黑体" w:eastAsia="黑体"/>
          <w:bCs/>
          <w:spacing w:val="20"/>
          <w:sz w:val="28"/>
          <w:szCs w:val="28"/>
          <w:highlight w:val="none"/>
          <w:u w:val="single"/>
          <w:lang w:val="en-US" w:eastAsia="zh-CN"/>
        </w:rPr>
      </w:pPr>
    </w:p>
    <w:p w14:paraId="469FBB8A">
      <w:pPr>
        <w:pageBreakBefore w:val="0"/>
        <w:shd w:val="clear"/>
        <w:kinsoku/>
        <w:wordWrap/>
        <w:overflowPunct/>
        <w:autoSpaceDE/>
        <w:autoSpaceDN/>
        <w:bidi w:val="0"/>
        <w:adjustRightInd w:val="0"/>
        <w:snapToGrid w:val="0"/>
        <w:spacing w:line="360" w:lineRule="auto"/>
        <w:jc w:val="center"/>
        <w:textAlignment w:val="auto"/>
        <w:rPr>
          <w:rFonts w:hint="eastAsia" w:ascii="黑体" w:hAnsi="黑体" w:eastAsia="黑体"/>
          <w:bCs/>
          <w:spacing w:val="20"/>
          <w:sz w:val="28"/>
          <w:szCs w:val="28"/>
          <w:highlight w:val="none"/>
          <w:u w:val="single"/>
          <w:lang w:val="en-US" w:eastAsia="zh-CN"/>
        </w:rPr>
      </w:pPr>
    </w:p>
    <w:p w14:paraId="5623A70F">
      <w:pPr>
        <w:pageBreakBefore w:val="0"/>
        <w:shd w:val="clear"/>
        <w:kinsoku/>
        <w:wordWrap/>
        <w:overflowPunct/>
        <w:autoSpaceDE/>
        <w:autoSpaceDN/>
        <w:bidi w:val="0"/>
        <w:adjustRightInd w:val="0"/>
        <w:snapToGrid w:val="0"/>
        <w:spacing w:line="360" w:lineRule="auto"/>
        <w:jc w:val="center"/>
        <w:textAlignment w:val="auto"/>
        <w:rPr>
          <w:rFonts w:hint="eastAsia" w:ascii="黑体" w:hAnsi="黑体" w:eastAsia="黑体"/>
          <w:bCs/>
          <w:spacing w:val="20"/>
          <w:sz w:val="28"/>
          <w:szCs w:val="28"/>
          <w:highlight w:val="none"/>
          <w:u w:val="single"/>
          <w:lang w:val="en-US" w:eastAsia="zh-CN"/>
        </w:rPr>
      </w:pPr>
    </w:p>
    <w:p w14:paraId="317D2B90">
      <w:pPr>
        <w:pageBreakBefore w:val="0"/>
        <w:shd w:val="clear"/>
        <w:kinsoku/>
        <w:wordWrap/>
        <w:overflowPunct/>
        <w:autoSpaceDE/>
        <w:autoSpaceDN/>
        <w:bidi w:val="0"/>
        <w:adjustRightInd w:val="0"/>
        <w:snapToGrid w:val="0"/>
        <w:spacing w:line="360" w:lineRule="auto"/>
        <w:jc w:val="center"/>
        <w:textAlignment w:val="auto"/>
        <w:rPr>
          <w:rFonts w:hint="eastAsia" w:ascii="黑体" w:hAnsi="黑体" w:eastAsia="黑体"/>
          <w:bCs/>
          <w:spacing w:val="20"/>
          <w:sz w:val="28"/>
          <w:szCs w:val="28"/>
          <w:highlight w:val="none"/>
          <w:u w:val="single"/>
          <w:lang w:val="en-US" w:eastAsia="zh-CN"/>
        </w:rPr>
      </w:pPr>
    </w:p>
    <w:p w14:paraId="6059DD8E">
      <w:pPr>
        <w:pageBreakBefore w:val="0"/>
        <w:shd w:val="clear"/>
        <w:kinsoku/>
        <w:wordWrap/>
        <w:overflowPunct/>
        <w:autoSpaceDE/>
        <w:autoSpaceDN/>
        <w:bidi w:val="0"/>
        <w:adjustRightInd w:val="0"/>
        <w:snapToGrid w:val="0"/>
        <w:spacing w:line="360" w:lineRule="auto"/>
        <w:jc w:val="center"/>
        <w:textAlignment w:val="auto"/>
        <w:rPr>
          <w:rFonts w:hint="eastAsia" w:ascii="黑体" w:hAnsi="黑体" w:eastAsia="黑体"/>
          <w:bCs/>
          <w:spacing w:val="20"/>
          <w:sz w:val="28"/>
          <w:szCs w:val="28"/>
          <w:highlight w:val="none"/>
          <w:u w:val="single"/>
          <w:lang w:val="en-US" w:eastAsia="zh-CN"/>
        </w:rPr>
      </w:pPr>
    </w:p>
    <w:p w14:paraId="34DABBAB">
      <w:pPr>
        <w:pageBreakBefore w:val="0"/>
        <w:shd w:val="clear"/>
        <w:kinsoku/>
        <w:wordWrap/>
        <w:overflowPunct/>
        <w:autoSpaceDE/>
        <w:autoSpaceDN/>
        <w:bidi w:val="0"/>
        <w:adjustRightInd w:val="0"/>
        <w:snapToGrid w:val="0"/>
        <w:spacing w:line="360" w:lineRule="auto"/>
        <w:jc w:val="center"/>
        <w:textAlignment w:val="auto"/>
        <w:rPr>
          <w:rFonts w:hint="eastAsia" w:ascii="黑体" w:hAnsi="黑体" w:eastAsia="黑体"/>
          <w:bCs/>
          <w:spacing w:val="20"/>
          <w:sz w:val="28"/>
          <w:szCs w:val="28"/>
          <w:highlight w:val="none"/>
          <w:u w:val="single"/>
          <w:lang w:val="en-US" w:eastAsia="zh-CN"/>
        </w:rPr>
      </w:pPr>
    </w:p>
    <w:p w14:paraId="50ABA454">
      <w:pPr>
        <w:pageBreakBefore w:val="0"/>
        <w:shd w:val="clear"/>
        <w:kinsoku/>
        <w:wordWrap/>
        <w:overflowPunct/>
        <w:autoSpaceDE/>
        <w:autoSpaceDN/>
        <w:bidi w:val="0"/>
        <w:adjustRightInd w:val="0"/>
        <w:snapToGrid w:val="0"/>
        <w:spacing w:line="360" w:lineRule="auto"/>
        <w:jc w:val="center"/>
        <w:textAlignment w:val="auto"/>
        <w:rPr>
          <w:rFonts w:hint="eastAsia" w:ascii="黑体" w:hAnsi="黑体" w:eastAsia="黑体"/>
          <w:bCs/>
          <w:spacing w:val="20"/>
          <w:sz w:val="28"/>
          <w:szCs w:val="28"/>
          <w:highlight w:val="none"/>
          <w:u w:val="single"/>
          <w:lang w:val="en-US" w:eastAsia="zh-CN"/>
        </w:rPr>
      </w:pPr>
    </w:p>
    <w:p w14:paraId="64D052A8">
      <w:pPr>
        <w:pageBreakBefore w:val="0"/>
        <w:shd w:val="clear"/>
        <w:kinsoku/>
        <w:wordWrap/>
        <w:overflowPunct/>
        <w:autoSpaceDE/>
        <w:autoSpaceDN/>
        <w:bidi w:val="0"/>
        <w:adjustRightInd w:val="0"/>
        <w:snapToGrid w:val="0"/>
        <w:spacing w:line="360" w:lineRule="auto"/>
        <w:jc w:val="center"/>
        <w:textAlignment w:val="auto"/>
        <w:rPr>
          <w:rFonts w:hint="eastAsia" w:ascii="黑体" w:hAnsi="黑体" w:eastAsia="黑体"/>
          <w:bCs/>
          <w:spacing w:val="20"/>
          <w:sz w:val="28"/>
          <w:szCs w:val="28"/>
          <w:highlight w:val="none"/>
          <w:u w:val="single"/>
          <w:lang w:val="en-US" w:eastAsia="zh-CN"/>
        </w:rPr>
      </w:pPr>
    </w:p>
    <w:p w14:paraId="26844944">
      <w:pPr>
        <w:pageBreakBefore w:val="0"/>
        <w:shd w:val="clear"/>
        <w:kinsoku/>
        <w:wordWrap/>
        <w:overflowPunct/>
        <w:autoSpaceDE/>
        <w:autoSpaceDN/>
        <w:bidi w:val="0"/>
        <w:adjustRightInd w:val="0"/>
        <w:snapToGrid w:val="0"/>
        <w:spacing w:line="360" w:lineRule="auto"/>
        <w:jc w:val="center"/>
        <w:textAlignment w:val="auto"/>
        <w:rPr>
          <w:rFonts w:hint="eastAsia" w:ascii="黑体" w:hAnsi="黑体" w:eastAsia="黑体"/>
          <w:bCs/>
          <w:spacing w:val="20"/>
          <w:sz w:val="28"/>
          <w:szCs w:val="28"/>
          <w:highlight w:val="none"/>
          <w:u w:val="single"/>
          <w:lang w:val="en-US" w:eastAsia="zh-CN"/>
        </w:rPr>
      </w:pPr>
    </w:p>
    <w:p w14:paraId="6034EC64">
      <w:pPr>
        <w:pageBreakBefore w:val="0"/>
        <w:shd w:val="clear"/>
        <w:kinsoku/>
        <w:wordWrap/>
        <w:overflowPunct/>
        <w:autoSpaceDE/>
        <w:autoSpaceDN/>
        <w:bidi w:val="0"/>
        <w:adjustRightInd w:val="0"/>
        <w:snapToGrid w:val="0"/>
        <w:spacing w:line="360" w:lineRule="auto"/>
        <w:jc w:val="center"/>
        <w:textAlignment w:val="auto"/>
        <w:rPr>
          <w:rFonts w:hint="eastAsia" w:ascii="黑体" w:hAnsi="黑体" w:eastAsia="黑体"/>
          <w:bCs/>
          <w:spacing w:val="20"/>
          <w:sz w:val="28"/>
          <w:szCs w:val="28"/>
          <w:highlight w:val="none"/>
          <w:u w:val="single"/>
          <w:lang w:val="en-US" w:eastAsia="zh-CN"/>
        </w:rPr>
      </w:pPr>
    </w:p>
    <w:p w14:paraId="69DA5519">
      <w:pPr>
        <w:pageBreakBefore w:val="0"/>
        <w:shd w:val="clear"/>
        <w:kinsoku/>
        <w:wordWrap/>
        <w:overflowPunct/>
        <w:autoSpaceDE/>
        <w:autoSpaceDN/>
        <w:bidi w:val="0"/>
        <w:adjustRightInd w:val="0"/>
        <w:snapToGrid w:val="0"/>
        <w:spacing w:line="360" w:lineRule="auto"/>
        <w:jc w:val="center"/>
        <w:textAlignment w:val="auto"/>
        <w:rPr>
          <w:rFonts w:hint="eastAsia" w:ascii="黑体" w:hAnsi="黑体" w:eastAsia="黑体"/>
          <w:bCs/>
          <w:spacing w:val="20"/>
          <w:sz w:val="28"/>
          <w:szCs w:val="28"/>
          <w:highlight w:val="none"/>
          <w:u w:val="single"/>
          <w:lang w:val="en-US" w:eastAsia="zh-CN"/>
        </w:rPr>
      </w:pPr>
    </w:p>
    <w:p w14:paraId="72120B5E">
      <w:pPr>
        <w:pageBreakBefore w:val="0"/>
        <w:shd w:val="clear"/>
        <w:kinsoku/>
        <w:wordWrap/>
        <w:overflowPunct/>
        <w:autoSpaceDE/>
        <w:autoSpaceDN/>
        <w:bidi w:val="0"/>
        <w:adjustRightInd w:val="0"/>
        <w:snapToGrid w:val="0"/>
        <w:spacing w:line="360" w:lineRule="auto"/>
        <w:jc w:val="center"/>
        <w:textAlignment w:val="auto"/>
        <w:rPr>
          <w:rFonts w:hint="eastAsia" w:ascii="黑体" w:hAnsi="黑体" w:eastAsia="黑体"/>
          <w:bCs/>
          <w:spacing w:val="20"/>
          <w:sz w:val="28"/>
          <w:szCs w:val="28"/>
          <w:highlight w:val="none"/>
          <w:u w:val="single"/>
          <w:lang w:val="en-US" w:eastAsia="zh-CN"/>
        </w:rPr>
      </w:pPr>
    </w:p>
    <w:p w14:paraId="0043BBA6">
      <w:pPr>
        <w:pageBreakBefore w:val="0"/>
        <w:shd w:val="clear"/>
        <w:kinsoku/>
        <w:wordWrap/>
        <w:overflowPunct/>
        <w:autoSpaceDE/>
        <w:autoSpaceDN/>
        <w:bidi w:val="0"/>
        <w:adjustRightInd w:val="0"/>
        <w:snapToGrid w:val="0"/>
        <w:spacing w:line="360" w:lineRule="auto"/>
        <w:jc w:val="center"/>
        <w:textAlignment w:val="auto"/>
        <w:rPr>
          <w:rFonts w:hint="eastAsia" w:ascii="黑体" w:hAnsi="黑体" w:eastAsia="黑体"/>
          <w:bCs/>
          <w:spacing w:val="20"/>
          <w:sz w:val="28"/>
          <w:szCs w:val="28"/>
          <w:highlight w:val="none"/>
          <w:u w:val="single"/>
          <w:lang w:val="en-US" w:eastAsia="zh-CN"/>
        </w:rPr>
      </w:pPr>
    </w:p>
    <w:p w14:paraId="74D1A6D9">
      <w:pPr>
        <w:pageBreakBefore w:val="0"/>
        <w:shd w:val="clear"/>
        <w:kinsoku/>
        <w:wordWrap/>
        <w:overflowPunct/>
        <w:autoSpaceDE/>
        <w:autoSpaceDN/>
        <w:bidi w:val="0"/>
        <w:adjustRightInd w:val="0"/>
        <w:snapToGrid w:val="0"/>
        <w:spacing w:line="360" w:lineRule="auto"/>
        <w:jc w:val="center"/>
        <w:textAlignment w:val="auto"/>
        <w:rPr>
          <w:rFonts w:hint="eastAsia" w:ascii="黑体" w:hAnsi="黑体" w:eastAsia="黑体"/>
          <w:bCs/>
          <w:spacing w:val="20"/>
          <w:sz w:val="28"/>
          <w:szCs w:val="28"/>
          <w:highlight w:val="none"/>
          <w:u w:val="single"/>
          <w:lang w:val="en-US" w:eastAsia="zh-CN"/>
        </w:rPr>
      </w:pPr>
    </w:p>
    <w:p w14:paraId="0E17F6E3">
      <w:pPr>
        <w:rPr>
          <w:highlight w:val="none"/>
        </w:rPr>
      </w:pPr>
    </w:p>
    <w:p w14:paraId="514D5A25">
      <w:pPr>
        <w:widowControl w:val="0"/>
        <w:tabs>
          <w:tab w:val="left" w:pos="5145"/>
        </w:tabs>
        <w:spacing w:line="360" w:lineRule="auto"/>
        <w:ind w:right="277" w:rightChars="132"/>
        <w:jc w:val="left"/>
        <w:rPr>
          <w:rFonts w:hint="eastAsia" w:eastAsia="宋体"/>
          <w:b/>
          <w:sz w:val="36"/>
          <w:szCs w:val="36"/>
          <w:highlight w:val="none"/>
          <w:u w:val="single"/>
          <w:lang w:val="en-US" w:eastAsia="zh-CN"/>
        </w:rPr>
      </w:pPr>
      <w:r>
        <w:rPr>
          <w:rFonts w:hint="eastAsia" w:eastAsia="宋体"/>
          <w:b/>
          <w:sz w:val="36"/>
          <w:szCs w:val="36"/>
          <w:highlight w:val="none"/>
          <w:u w:val="single"/>
          <w:lang w:val="en-US" w:eastAsia="zh-CN"/>
        </w:rPr>
        <w:t>项目名称：</w:t>
      </w:r>
    </w:p>
    <w:p w14:paraId="1E5A8C41">
      <w:pPr>
        <w:pStyle w:val="27"/>
        <w:jc w:val="both"/>
        <w:rPr>
          <w:b/>
          <w:sz w:val="56"/>
          <w:highlight w:val="none"/>
        </w:rPr>
      </w:pPr>
      <w:r>
        <w:rPr>
          <w:rFonts w:hint="eastAsia" w:eastAsia="宋体"/>
          <w:b/>
          <w:sz w:val="36"/>
          <w:szCs w:val="36"/>
          <w:highlight w:val="none"/>
          <w:u w:val="single"/>
          <w:lang w:val="en-US" w:eastAsia="zh-CN"/>
        </w:rPr>
        <w:t>项目编号：</w:t>
      </w:r>
    </w:p>
    <w:p w14:paraId="4C44BD4A">
      <w:pPr>
        <w:spacing w:line="480" w:lineRule="auto"/>
        <w:ind w:left="600" w:firstLine="0" w:firstLineChars="0"/>
        <w:jc w:val="center"/>
        <w:rPr>
          <w:rFonts w:hint="eastAsia"/>
          <w:b/>
          <w:sz w:val="56"/>
          <w:highlight w:val="none"/>
          <w:lang w:eastAsia="zh-CN"/>
        </w:rPr>
      </w:pPr>
    </w:p>
    <w:p w14:paraId="55420274">
      <w:pPr>
        <w:spacing w:line="480" w:lineRule="auto"/>
        <w:ind w:left="600" w:firstLine="0" w:firstLineChars="0"/>
        <w:jc w:val="center"/>
        <w:rPr>
          <w:rFonts w:hint="eastAsia"/>
          <w:b/>
          <w:sz w:val="56"/>
          <w:highlight w:val="none"/>
          <w:lang w:eastAsia="zh-CN"/>
        </w:rPr>
      </w:pPr>
    </w:p>
    <w:p w14:paraId="52731752">
      <w:pPr>
        <w:spacing w:line="480" w:lineRule="auto"/>
        <w:ind w:left="600" w:firstLine="0" w:firstLineChars="0"/>
        <w:jc w:val="center"/>
        <w:rPr>
          <w:b/>
          <w:sz w:val="56"/>
          <w:highlight w:val="none"/>
        </w:rPr>
      </w:pPr>
      <w:r>
        <w:rPr>
          <w:rFonts w:hint="eastAsia"/>
          <w:b/>
          <w:sz w:val="56"/>
          <w:highlight w:val="none"/>
          <w:lang w:eastAsia="zh-CN"/>
        </w:rPr>
        <w:t>报价</w:t>
      </w:r>
      <w:r>
        <w:rPr>
          <w:rFonts w:hint="eastAsia"/>
          <w:b/>
          <w:sz w:val="56"/>
          <w:highlight w:val="none"/>
        </w:rPr>
        <w:t>文件</w:t>
      </w:r>
    </w:p>
    <w:p w14:paraId="07ACFF9F">
      <w:pPr>
        <w:pStyle w:val="27"/>
        <w:ind w:left="1200" w:firstLine="0" w:firstLineChars="0"/>
        <w:rPr>
          <w:rFonts w:ascii="仿宋_GB2312" w:hAnsi="仿宋_GB2312" w:eastAsia="仿宋_GB2312" w:cs="仿宋_GB2312"/>
          <w:b/>
          <w:sz w:val="32"/>
          <w:highlight w:val="none"/>
        </w:rPr>
      </w:pPr>
    </w:p>
    <w:p w14:paraId="730D6EAD">
      <w:pPr>
        <w:pStyle w:val="27"/>
        <w:ind w:left="1200" w:firstLine="0" w:firstLineChars="0"/>
        <w:rPr>
          <w:rFonts w:hint="eastAsia" w:ascii="仿宋_GB2312" w:hAnsi="仿宋_GB2312" w:eastAsia="仿宋_GB2312" w:cs="仿宋_GB2312"/>
          <w:b/>
          <w:sz w:val="32"/>
          <w:highlight w:val="none"/>
          <w:lang w:eastAsia="zh-CN"/>
        </w:rPr>
      </w:pPr>
    </w:p>
    <w:p w14:paraId="0EF0B1E4">
      <w:pPr>
        <w:pStyle w:val="27"/>
        <w:ind w:left="1200" w:firstLine="0" w:firstLineChars="0"/>
        <w:rPr>
          <w:rFonts w:hint="eastAsia" w:ascii="仿宋_GB2312" w:hAnsi="仿宋_GB2312" w:eastAsia="仿宋_GB2312" w:cs="仿宋_GB2312"/>
          <w:b/>
          <w:sz w:val="32"/>
          <w:highlight w:val="none"/>
          <w:lang w:eastAsia="zh-CN"/>
        </w:rPr>
      </w:pPr>
    </w:p>
    <w:p w14:paraId="2B17EAA4">
      <w:pPr>
        <w:pStyle w:val="27"/>
        <w:ind w:left="1200" w:firstLine="0" w:firstLineChars="0"/>
        <w:rPr>
          <w:rFonts w:hint="eastAsia" w:ascii="仿宋_GB2312" w:hAnsi="仿宋_GB2312" w:eastAsia="仿宋_GB2312" w:cs="仿宋_GB2312"/>
          <w:b/>
          <w:sz w:val="32"/>
          <w:highlight w:val="none"/>
          <w:lang w:eastAsia="zh-CN"/>
        </w:rPr>
      </w:pPr>
    </w:p>
    <w:p w14:paraId="1ED7A479">
      <w:pPr>
        <w:pStyle w:val="27"/>
        <w:ind w:left="1200" w:firstLine="0" w:firstLineChars="0"/>
        <w:rPr>
          <w:rFonts w:hint="eastAsia" w:ascii="仿宋_GB2312" w:hAnsi="仿宋_GB2312" w:eastAsia="仿宋_GB2312" w:cs="仿宋_GB2312"/>
          <w:b/>
          <w:sz w:val="32"/>
          <w:highlight w:val="none"/>
          <w:lang w:eastAsia="zh-CN"/>
        </w:rPr>
      </w:pPr>
    </w:p>
    <w:p w14:paraId="346735E4">
      <w:pPr>
        <w:pStyle w:val="27"/>
        <w:ind w:left="1200" w:firstLine="0" w:firstLineChars="0"/>
        <w:rPr>
          <w:rFonts w:hint="eastAsia" w:ascii="仿宋_GB2312" w:hAnsi="仿宋_GB2312" w:eastAsia="仿宋_GB2312" w:cs="仿宋_GB2312"/>
          <w:b/>
          <w:sz w:val="32"/>
          <w:highlight w:val="none"/>
          <w:lang w:eastAsia="zh-CN"/>
        </w:rPr>
      </w:pPr>
    </w:p>
    <w:p w14:paraId="0BC68461">
      <w:pPr>
        <w:pStyle w:val="27"/>
        <w:ind w:left="1200" w:firstLine="0" w:firstLineChars="0"/>
        <w:rPr>
          <w:rFonts w:ascii="仿宋_GB2312" w:hAnsi="仿宋_GB2312" w:eastAsia="仿宋_GB2312" w:cs="仿宋_GB2312"/>
          <w:highlight w:val="none"/>
        </w:rPr>
      </w:pPr>
    </w:p>
    <w:p w14:paraId="7B2D46E2">
      <w:pPr>
        <w:pStyle w:val="27"/>
        <w:ind w:left="1200" w:firstLine="0" w:firstLineChars="0"/>
        <w:rPr>
          <w:rFonts w:ascii="仿宋_GB2312" w:hAnsi="仿宋_GB2312" w:eastAsia="仿宋_GB2312" w:cs="仿宋_GB2312"/>
          <w:highlight w:val="none"/>
        </w:rPr>
      </w:pPr>
    </w:p>
    <w:p w14:paraId="27F66A18">
      <w:pPr>
        <w:ind w:right="40" w:rightChars="19" w:firstLine="560"/>
        <w:jc w:val="both"/>
        <w:rPr>
          <w:sz w:val="28"/>
          <w:szCs w:val="28"/>
          <w:highlight w:val="none"/>
          <w:u w:val="single"/>
        </w:rPr>
      </w:pPr>
      <w:r>
        <w:rPr>
          <w:rFonts w:hint="eastAsia"/>
          <w:sz w:val="28"/>
          <w:szCs w:val="28"/>
          <w:highlight w:val="none"/>
        </w:rPr>
        <w:t>　　　　</w:t>
      </w:r>
      <w:r>
        <w:rPr>
          <w:rFonts w:hint="eastAsia"/>
          <w:sz w:val="28"/>
          <w:szCs w:val="28"/>
          <w:highlight w:val="none"/>
          <w:lang w:eastAsia="zh-CN"/>
        </w:rPr>
        <w:t>供</w:t>
      </w:r>
      <w:r>
        <w:rPr>
          <w:rFonts w:hint="eastAsia"/>
          <w:sz w:val="28"/>
          <w:szCs w:val="28"/>
          <w:highlight w:val="none"/>
          <w:lang w:val="en-US" w:eastAsia="zh-CN"/>
        </w:rPr>
        <w:t xml:space="preserve">  </w:t>
      </w:r>
      <w:r>
        <w:rPr>
          <w:rFonts w:hint="eastAsia"/>
          <w:sz w:val="28"/>
          <w:szCs w:val="28"/>
          <w:highlight w:val="none"/>
          <w:lang w:eastAsia="zh-CN"/>
        </w:rPr>
        <w:t>应</w:t>
      </w:r>
      <w:r>
        <w:rPr>
          <w:rFonts w:hint="eastAsia"/>
          <w:sz w:val="28"/>
          <w:szCs w:val="28"/>
          <w:highlight w:val="none"/>
          <w:lang w:val="en-US" w:eastAsia="zh-CN"/>
        </w:rPr>
        <w:t xml:space="preserve">  </w:t>
      </w:r>
      <w:r>
        <w:rPr>
          <w:rFonts w:hint="eastAsia"/>
          <w:sz w:val="28"/>
          <w:szCs w:val="28"/>
          <w:highlight w:val="none"/>
          <w:lang w:eastAsia="zh-CN"/>
        </w:rPr>
        <w:t>商</w:t>
      </w:r>
      <w:r>
        <w:rPr>
          <w:rFonts w:hint="eastAsia"/>
          <w:sz w:val="28"/>
          <w:szCs w:val="28"/>
          <w:highlight w:val="none"/>
        </w:rPr>
        <w:t>：</w:t>
      </w:r>
      <w:r>
        <w:rPr>
          <w:rFonts w:hint="eastAsia"/>
          <w:sz w:val="28"/>
          <w:szCs w:val="28"/>
          <w:highlight w:val="none"/>
          <w:u w:val="single"/>
        </w:rPr>
        <w:t>　　</w:t>
      </w:r>
      <w:r>
        <w:rPr>
          <w:rFonts w:hint="eastAsia"/>
          <w:sz w:val="28"/>
          <w:szCs w:val="28"/>
          <w:highlight w:val="none"/>
          <w:u w:val="single"/>
          <w:lang w:val="en-US" w:eastAsia="zh-CN"/>
        </w:rPr>
        <w:t xml:space="preserve">         </w:t>
      </w:r>
      <w:r>
        <w:rPr>
          <w:rFonts w:hint="eastAsia"/>
          <w:sz w:val="28"/>
          <w:szCs w:val="28"/>
          <w:highlight w:val="none"/>
          <w:u w:val="single"/>
        </w:rPr>
        <w:t>　　　　</w:t>
      </w:r>
      <w:r>
        <w:rPr>
          <w:rFonts w:hint="eastAsia"/>
          <w:sz w:val="28"/>
          <w:szCs w:val="28"/>
          <w:highlight w:val="none"/>
          <w:u w:val="single"/>
          <w:lang w:val="en-US" w:eastAsia="zh-CN"/>
        </w:rPr>
        <w:t xml:space="preserve">   </w:t>
      </w:r>
      <w:r>
        <w:rPr>
          <w:rFonts w:hint="eastAsia"/>
          <w:sz w:val="28"/>
          <w:szCs w:val="28"/>
          <w:highlight w:val="none"/>
          <w:u w:val="single"/>
        </w:rPr>
        <w:t>　（盖章）</w:t>
      </w:r>
    </w:p>
    <w:p w14:paraId="08A12CC7">
      <w:pPr>
        <w:ind w:right="40" w:rightChars="19" w:firstLine="560"/>
        <w:jc w:val="center"/>
        <w:rPr>
          <w:sz w:val="28"/>
          <w:szCs w:val="28"/>
          <w:highlight w:val="none"/>
        </w:rPr>
      </w:pPr>
    </w:p>
    <w:p w14:paraId="22C96657">
      <w:pPr>
        <w:ind w:right="40" w:rightChars="19" w:firstLine="1680" w:firstLineChars="600"/>
        <w:jc w:val="both"/>
        <w:rPr>
          <w:sz w:val="28"/>
          <w:szCs w:val="28"/>
          <w:highlight w:val="none"/>
        </w:rPr>
      </w:pPr>
      <w:r>
        <w:rPr>
          <w:rFonts w:hint="eastAsia"/>
          <w:sz w:val="28"/>
          <w:szCs w:val="28"/>
          <w:highlight w:val="none"/>
        </w:rPr>
        <w:t>法定代表人或其委托代理人：</w:t>
      </w:r>
      <w:r>
        <w:rPr>
          <w:rFonts w:hint="eastAsia"/>
          <w:sz w:val="28"/>
          <w:szCs w:val="28"/>
          <w:highlight w:val="none"/>
          <w:u w:val="single"/>
        </w:rPr>
        <w:t>　</w:t>
      </w:r>
      <w:r>
        <w:rPr>
          <w:rFonts w:hint="eastAsia"/>
          <w:sz w:val="28"/>
          <w:szCs w:val="28"/>
          <w:highlight w:val="none"/>
          <w:u w:val="single"/>
          <w:lang w:val="en-US" w:eastAsia="zh-CN"/>
        </w:rPr>
        <w:t xml:space="preserve">  </w:t>
      </w:r>
      <w:r>
        <w:rPr>
          <w:rFonts w:hint="eastAsia"/>
          <w:sz w:val="28"/>
          <w:szCs w:val="28"/>
          <w:highlight w:val="none"/>
          <w:u w:val="single"/>
        </w:rPr>
        <w:t>　（签字或盖章）</w:t>
      </w:r>
    </w:p>
    <w:p w14:paraId="79C411B7">
      <w:pPr>
        <w:spacing w:line="400" w:lineRule="atLeast"/>
        <w:ind w:firstLine="560"/>
        <w:jc w:val="center"/>
        <w:rPr>
          <w:sz w:val="28"/>
          <w:szCs w:val="28"/>
          <w:highlight w:val="none"/>
        </w:rPr>
      </w:pPr>
    </w:p>
    <w:p w14:paraId="723EB4E0">
      <w:pPr>
        <w:spacing w:line="400" w:lineRule="atLeast"/>
        <w:ind w:firstLine="560"/>
        <w:jc w:val="both"/>
        <w:rPr>
          <w:highlight w:val="none"/>
        </w:rPr>
        <w:sectPr>
          <w:headerReference r:id="rId7" w:type="default"/>
          <w:footerReference r:id="rId8" w:type="default"/>
          <w:pgSz w:w="11906" w:h="16838"/>
          <w:pgMar w:top="1440" w:right="1080" w:bottom="1440" w:left="1080" w:header="851" w:footer="851" w:gutter="0"/>
          <w:pgNumType w:fmt="decimal"/>
          <w:cols w:space="720" w:num="1"/>
          <w:docGrid w:linePitch="312" w:charSpace="0"/>
        </w:sectPr>
      </w:pPr>
      <w:r>
        <w:rPr>
          <w:rFonts w:hint="eastAsia"/>
          <w:sz w:val="28"/>
          <w:szCs w:val="28"/>
          <w:highlight w:val="none"/>
        </w:rPr>
        <w:t>　　　　　日　　期：</w:t>
      </w:r>
      <w:r>
        <w:rPr>
          <w:rFonts w:hint="eastAsia"/>
          <w:sz w:val="28"/>
          <w:szCs w:val="28"/>
          <w:highlight w:val="none"/>
          <w:u w:val="single"/>
        </w:rPr>
        <w:t>　　　</w:t>
      </w:r>
      <w:r>
        <w:rPr>
          <w:rFonts w:hint="eastAsia"/>
          <w:sz w:val="28"/>
          <w:szCs w:val="28"/>
          <w:highlight w:val="none"/>
        </w:rPr>
        <w:t>年</w:t>
      </w:r>
      <w:r>
        <w:rPr>
          <w:rFonts w:hint="eastAsia"/>
          <w:sz w:val="28"/>
          <w:szCs w:val="28"/>
          <w:highlight w:val="none"/>
          <w:u w:val="single"/>
        </w:rPr>
        <w:t>　　　</w:t>
      </w:r>
      <w:r>
        <w:rPr>
          <w:rFonts w:hint="eastAsia"/>
          <w:sz w:val="28"/>
          <w:szCs w:val="28"/>
          <w:highlight w:val="none"/>
        </w:rPr>
        <w:t>月</w:t>
      </w:r>
      <w:r>
        <w:rPr>
          <w:rFonts w:hint="eastAsia"/>
          <w:sz w:val="28"/>
          <w:szCs w:val="28"/>
          <w:highlight w:val="none"/>
          <w:u w:val="single"/>
        </w:rPr>
        <w:t>　　</w:t>
      </w:r>
      <w:r>
        <w:rPr>
          <w:rFonts w:hint="eastAsia"/>
          <w:sz w:val="28"/>
          <w:szCs w:val="28"/>
          <w:highlight w:val="none"/>
        </w:rPr>
        <w:t>日</w:t>
      </w:r>
    </w:p>
    <w:p w14:paraId="59963DF2">
      <w:pPr>
        <w:topLinePunct/>
        <w:spacing w:line="600" w:lineRule="exact"/>
        <w:ind w:firstLine="480"/>
        <w:jc w:val="center"/>
        <w:rPr>
          <w:rFonts w:hint="eastAsia" w:ascii="仿宋" w:hAnsi="仿宋" w:eastAsia="仿宋"/>
          <w:bCs/>
          <w:sz w:val="28"/>
          <w:szCs w:val="28"/>
          <w:highlight w:val="none"/>
          <w:lang w:eastAsia="zh-CN"/>
        </w:rPr>
      </w:pPr>
      <w:bookmarkStart w:id="53" w:name="_Toc30598"/>
      <w:bookmarkStart w:id="54" w:name="_Toc360113102"/>
      <w:bookmarkStart w:id="55" w:name="_Toc22243"/>
      <w:bookmarkStart w:id="56" w:name="_Toc5034"/>
      <w:bookmarkStart w:id="57" w:name="_Toc8057"/>
      <w:bookmarkStart w:id="58" w:name="_Toc330225910"/>
      <w:bookmarkStart w:id="59" w:name="_Toc20511"/>
      <w:r>
        <w:rPr>
          <w:rFonts w:hint="eastAsia" w:ascii="仿宋" w:hAnsi="仿宋" w:eastAsia="仿宋"/>
          <w:b/>
          <w:bCs/>
          <w:sz w:val="28"/>
          <w:szCs w:val="28"/>
          <w:highlight w:val="none"/>
          <w:lang w:val="en-US" w:eastAsia="zh-CN"/>
        </w:rPr>
        <w:t>1.</w:t>
      </w:r>
      <w:r>
        <w:rPr>
          <w:rFonts w:hint="eastAsia" w:ascii="仿宋" w:hAnsi="仿宋" w:eastAsia="仿宋"/>
          <w:b/>
          <w:bCs/>
          <w:sz w:val="28"/>
          <w:szCs w:val="28"/>
          <w:highlight w:val="none"/>
        </w:rPr>
        <w:t>法定代表人身份证明</w:t>
      </w:r>
      <w:bookmarkEnd w:id="53"/>
      <w:bookmarkEnd w:id="54"/>
      <w:bookmarkEnd w:id="55"/>
      <w:bookmarkEnd w:id="56"/>
      <w:bookmarkEnd w:id="57"/>
      <w:bookmarkEnd w:id="58"/>
      <w:bookmarkEnd w:id="59"/>
    </w:p>
    <w:p w14:paraId="0EEEAC82">
      <w:pPr>
        <w:topLinePunct/>
        <w:spacing w:line="600" w:lineRule="exact"/>
        <w:ind w:firstLine="480"/>
        <w:rPr>
          <w:rFonts w:ascii="仿宋" w:hAnsi="仿宋" w:eastAsia="仿宋"/>
          <w:bCs/>
          <w:sz w:val="28"/>
          <w:szCs w:val="28"/>
          <w:highlight w:val="none"/>
          <w:u w:val="single"/>
        </w:rPr>
      </w:pPr>
      <w:r>
        <w:rPr>
          <w:rFonts w:hint="eastAsia" w:ascii="仿宋" w:hAnsi="仿宋" w:eastAsia="仿宋"/>
          <w:bCs/>
          <w:sz w:val="28"/>
          <w:szCs w:val="28"/>
          <w:highlight w:val="none"/>
        </w:rPr>
        <w:t>报价供应商名称：</w:t>
      </w:r>
    </w:p>
    <w:p w14:paraId="4592B70A">
      <w:pPr>
        <w:topLinePunct/>
        <w:spacing w:line="600" w:lineRule="exact"/>
        <w:ind w:firstLine="480"/>
        <w:rPr>
          <w:rFonts w:ascii="仿宋" w:hAnsi="仿宋" w:eastAsia="仿宋"/>
          <w:bCs/>
          <w:sz w:val="28"/>
          <w:szCs w:val="28"/>
          <w:highlight w:val="none"/>
        </w:rPr>
      </w:pPr>
      <w:r>
        <w:rPr>
          <w:rFonts w:hint="eastAsia" w:ascii="仿宋" w:hAnsi="仿宋" w:eastAsia="仿宋"/>
          <w:bCs/>
          <w:sz w:val="28"/>
          <w:szCs w:val="28"/>
          <w:highlight w:val="none"/>
        </w:rPr>
        <w:t>报价供应商性质：</w:t>
      </w:r>
    </w:p>
    <w:p w14:paraId="7138CAB5">
      <w:pPr>
        <w:topLinePunct/>
        <w:spacing w:line="600" w:lineRule="exact"/>
        <w:ind w:firstLine="480"/>
        <w:rPr>
          <w:rFonts w:ascii="仿宋" w:hAnsi="仿宋" w:eastAsia="仿宋"/>
          <w:bCs/>
          <w:sz w:val="28"/>
          <w:szCs w:val="28"/>
          <w:highlight w:val="none"/>
        </w:rPr>
      </w:pPr>
      <w:r>
        <w:rPr>
          <w:rFonts w:hint="eastAsia" w:ascii="仿宋" w:hAnsi="仿宋" w:eastAsia="仿宋"/>
          <w:bCs/>
          <w:sz w:val="28"/>
          <w:szCs w:val="28"/>
          <w:highlight w:val="none"/>
        </w:rPr>
        <w:t>成立时间：</w:t>
      </w:r>
      <w:r>
        <w:rPr>
          <w:rFonts w:hint="eastAsia" w:ascii="仿宋" w:hAnsi="仿宋" w:eastAsia="仿宋"/>
          <w:bCs/>
          <w:sz w:val="28"/>
          <w:szCs w:val="28"/>
          <w:highlight w:val="none"/>
          <w:u w:val="single"/>
        </w:rPr>
        <w:t xml:space="preserve">  </w:t>
      </w:r>
      <w:r>
        <w:rPr>
          <w:rFonts w:hint="eastAsia" w:ascii="仿宋" w:hAnsi="仿宋" w:eastAsia="仿宋"/>
          <w:bCs/>
          <w:sz w:val="28"/>
          <w:szCs w:val="28"/>
          <w:highlight w:val="none"/>
        </w:rPr>
        <w:t>年</w:t>
      </w:r>
      <w:r>
        <w:rPr>
          <w:rFonts w:hint="eastAsia" w:ascii="仿宋" w:hAnsi="仿宋" w:eastAsia="仿宋"/>
          <w:bCs/>
          <w:sz w:val="28"/>
          <w:szCs w:val="28"/>
          <w:highlight w:val="none"/>
          <w:u w:val="single"/>
        </w:rPr>
        <w:t xml:space="preserve">  </w:t>
      </w:r>
      <w:r>
        <w:rPr>
          <w:rFonts w:hint="eastAsia" w:ascii="仿宋" w:hAnsi="仿宋" w:eastAsia="仿宋"/>
          <w:bCs/>
          <w:sz w:val="28"/>
          <w:szCs w:val="28"/>
          <w:highlight w:val="none"/>
        </w:rPr>
        <w:t>月</w:t>
      </w:r>
      <w:r>
        <w:rPr>
          <w:rFonts w:hint="eastAsia" w:ascii="仿宋" w:hAnsi="仿宋" w:eastAsia="仿宋"/>
          <w:bCs/>
          <w:sz w:val="28"/>
          <w:szCs w:val="28"/>
          <w:highlight w:val="none"/>
          <w:u w:val="single"/>
        </w:rPr>
        <w:t xml:space="preserve">  </w:t>
      </w:r>
      <w:r>
        <w:rPr>
          <w:rFonts w:hint="eastAsia" w:ascii="仿宋" w:hAnsi="仿宋" w:eastAsia="仿宋"/>
          <w:bCs/>
          <w:sz w:val="28"/>
          <w:szCs w:val="28"/>
          <w:highlight w:val="none"/>
        </w:rPr>
        <w:t>日</w:t>
      </w:r>
    </w:p>
    <w:p w14:paraId="1CC46176">
      <w:pPr>
        <w:topLinePunct/>
        <w:spacing w:line="600" w:lineRule="exact"/>
        <w:ind w:firstLine="480"/>
        <w:rPr>
          <w:rFonts w:ascii="仿宋" w:hAnsi="仿宋" w:eastAsia="仿宋"/>
          <w:bCs/>
          <w:sz w:val="28"/>
          <w:szCs w:val="28"/>
          <w:highlight w:val="none"/>
        </w:rPr>
      </w:pPr>
      <w:r>
        <w:rPr>
          <w:rFonts w:hint="eastAsia" w:ascii="仿宋" w:hAnsi="仿宋" w:eastAsia="仿宋"/>
          <w:bCs/>
          <w:sz w:val="28"/>
          <w:szCs w:val="28"/>
          <w:highlight w:val="none"/>
        </w:rPr>
        <w:t>经营期限：</w:t>
      </w:r>
    </w:p>
    <w:p w14:paraId="412147E2">
      <w:pPr>
        <w:topLinePunct/>
        <w:spacing w:line="600" w:lineRule="exact"/>
        <w:ind w:firstLine="480"/>
        <w:rPr>
          <w:rFonts w:ascii="仿宋" w:hAnsi="仿宋" w:eastAsia="仿宋"/>
          <w:bCs/>
          <w:sz w:val="28"/>
          <w:szCs w:val="28"/>
          <w:highlight w:val="none"/>
          <w:u w:val="single"/>
        </w:rPr>
      </w:pPr>
      <w:r>
        <w:rPr>
          <w:rFonts w:hint="eastAsia" w:ascii="仿宋" w:hAnsi="仿宋" w:eastAsia="仿宋"/>
          <w:bCs/>
          <w:sz w:val="28"/>
          <w:szCs w:val="28"/>
          <w:highlight w:val="none"/>
        </w:rPr>
        <w:t>姓名：</w:t>
      </w:r>
      <w:r>
        <w:rPr>
          <w:rFonts w:hint="eastAsia" w:ascii="仿宋" w:hAnsi="仿宋" w:eastAsia="仿宋"/>
          <w:bCs/>
          <w:sz w:val="28"/>
          <w:szCs w:val="28"/>
          <w:highlight w:val="none"/>
          <w:lang w:val="en-US" w:eastAsia="zh-CN"/>
        </w:rPr>
        <w:t xml:space="preserve">   </w:t>
      </w:r>
      <w:r>
        <w:rPr>
          <w:rFonts w:hint="eastAsia" w:ascii="仿宋" w:hAnsi="仿宋" w:eastAsia="仿宋"/>
          <w:bCs/>
          <w:sz w:val="28"/>
          <w:szCs w:val="28"/>
          <w:highlight w:val="none"/>
        </w:rPr>
        <w:t>性别：</w:t>
      </w:r>
      <w:r>
        <w:rPr>
          <w:rFonts w:hint="eastAsia" w:ascii="仿宋" w:hAnsi="仿宋" w:eastAsia="仿宋"/>
          <w:bCs/>
          <w:sz w:val="28"/>
          <w:szCs w:val="28"/>
          <w:highlight w:val="none"/>
          <w:lang w:val="en-US" w:eastAsia="zh-CN"/>
        </w:rPr>
        <w:t xml:space="preserve">    </w:t>
      </w:r>
      <w:r>
        <w:rPr>
          <w:rFonts w:hint="eastAsia" w:ascii="仿宋" w:hAnsi="仿宋" w:eastAsia="仿宋"/>
          <w:bCs/>
          <w:sz w:val="28"/>
          <w:szCs w:val="28"/>
          <w:highlight w:val="none"/>
        </w:rPr>
        <w:t>年龄：</w:t>
      </w:r>
      <w:r>
        <w:rPr>
          <w:rFonts w:hint="eastAsia" w:ascii="仿宋" w:hAnsi="仿宋" w:eastAsia="仿宋"/>
          <w:bCs/>
          <w:sz w:val="28"/>
          <w:szCs w:val="28"/>
          <w:highlight w:val="none"/>
          <w:lang w:val="en-US" w:eastAsia="zh-CN"/>
        </w:rPr>
        <w:t xml:space="preserve">   </w:t>
      </w:r>
      <w:r>
        <w:rPr>
          <w:rFonts w:hint="eastAsia" w:ascii="仿宋" w:hAnsi="仿宋" w:eastAsia="仿宋"/>
          <w:bCs/>
          <w:sz w:val="28"/>
          <w:szCs w:val="28"/>
          <w:highlight w:val="none"/>
        </w:rPr>
        <w:t>职务：</w:t>
      </w:r>
    </w:p>
    <w:p w14:paraId="32399E92">
      <w:pPr>
        <w:topLinePunct/>
        <w:spacing w:line="600" w:lineRule="exact"/>
        <w:ind w:firstLine="480"/>
        <w:rPr>
          <w:rFonts w:ascii="仿宋" w:hAnsi="仿宋" w:eastAsia="仿宋"/>
          <w:bCs/>
          <w:sz w:val="28"/>
          <w:szCs w:val="28"/>
          <w:highlight w:val="none"/>
        </w:rPr>
      </w:pPr>
      <w:r>
        <w:rPr>
          <w:rFonts w:hint="eastAsia" w:ascii="仿宋" w:hAnsi="仿宋" w:eastAsia="仿宋"/>
          <w:bCs/>
          <w:sz w:val="28"/>
          <w:szCs w:val="28"/>
          <w:highlight w:val="none"/>
        </w:rPr>
        <w:t>系（报价供应商名称）的法定代表人。</w:t>
      </w:r>
    </w:p>
    <w:p w14:paraId="7C1BEB43">
      <w:pPr>
        <w:topLinePunct/>
        <w:spacing w:line="600" w:lineRule="exact"/>
        <w:ind w:firstLine="480"/>
        <w:rPr>
          <w:rFonts w:hint="eastAsia" w:ascii="仿宋" w:hAnsi="仿宋" w:eastAsia="仿宋"/>
          <w:bCs/>
          <w:sz w:val="28"/>
          <w:szCs w:val="28"/>
          <w:highlight w:val="none"/>
        </w:rPr>
      </w:pPr>
      <w:r>
        <w:rPr>
          <w:rFonts w:hint="eastAsia" w:ascii="仿宋" w:hAnsi="仿宋" w:eastAsia="仿宋"/>
          <w:bCs/>
          <w:sz w:val="28"/>
          <w:szCs w:val="28"/>
          <w:highlight w:val="none"/>
        </w:rPr>
        <w:t>特此证明。</w:t>
      </w:r>
    </w:p>
    <w:p w14:paraId="404F3500">
      <w:pPr>
        <w:pStyle w:val="11"/>
        <w:jc w:val="center"/>
        <w:rPr>
          <w:rFonts w:hint="eastAsia" w:eastAsia="仿宋"/>
          <w:sz w:val="28"/>
          <w:szCs w:val="28"/>
          <w:highlight w:val="none"/>
          <w:lang w:eastAsia="zh-CN"/>
        </w:rPr>
      </w:pPr>
      <w:r>
        <w:rPr>
          <w:rFonts w:hint="eastAsia" w:ascii="仿宋" w:hAnsi="仿宋" w:eastAsia="仿宋"/>
          <w:bCs/>
          <w:sz w:val="28"/>
          <w:szCs w:val="28"/>
          <w:highlight w:val="none"/>
          <w:lang w:eastAsia="zh-CN"/>
        </w:rPr>
        <w:t>身份证复印件粘贴处</w:t>
      </w:r>
    </w:p>
    <w:tbl>
      <w:tblPr>
        <w:tblStyle w:val="17"/>
        <w:tblW w:w="87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86"/>
        <w:gridCol w:w="4386"/>
      </w:tblGrid>
      <w:tr w14:paraId="2B8F0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6" w:hRule="atLeast"/>
          <w:jc w:val="center"/>
        </w:trPr>
        <w:tc>
          <w:tcPr>
            <w:tcW w:w="4386" w:type="dxa"/>
            <w:vAlign w:val="center"/>
          </w:tcPr>
          <w:p w14:paraId="20A81096">
            <w:pPr>
              <w:widowControl w:val="0"/>
              <w:spacing w:line="360" w:lineRule="auto"/>
              <w:jc w:val="center"/>
              <w:rPr>
                <w:rFonts w:ascii="仿宋" w:hAnsi="仿宋" w:eastAsia="仿宋"/>
                <w:sz w:val="28"/>
                <w:szCs w:val="28"/>
                <w:highlight w:val="none"/>
              </w:rPr>
            </w:pPr>
          </w:p>
        </w:tc>
        <w:tc>
          <w:tcPr>
            <w:tcW w:w="4386" w:type="dxa"/>
            <w:vAlign w:val="center"/>
          </w:tcPr>
          <w:p w14:paraId="5A2D2066">
            <w:pPr>
              <w:widowControl w:val="0"/>
              <w:spacing w:line="360" w:lineRule="auto"/>
              <w:jc w:val="center"/>
              <w:rPr>
                <w:rFonts w:ascii="仿宋" w:hAnsi="仿宋" w:eastAsia="仿宋"/>
                <w:sz w:val="28"/>
                <w:szCs w:val="28"/>
                <w:highlight w:val="none"/>
              </w:rPr>
            </w:pPr>
          </w:p>
        </w:tc>
      </w:tr>
    </w:tbl>
    <w:p w14:paraId="008C1176">
      <w:pPr>
        <w:topLinePunct/>
        <w:spacing w:line="440" w:lineRule="exact"/>
        <w:ind w:firstLine="480"/>
        <w:rPr>
          <w:rFonts w:ascii="仿宋" w:hAnsi="仿宋" w:eastAsia="仿宋"/>
          <w:bCs/>
          <w:sz w:val="28"/>
          <w:szCs w:val="28"/>
          <w:highlight w:val="none"/>
        </w:rPr>
      </w:pPr>
    </w:p>
    <w:p w14:paraId="45DC5485">
      <w:pPr>
        <w:topLinePunct/>
        <w:spacing w:line="440" w:lineRule="exact"/>
        <w:ind w:firstLine="480"/>
        <w:rPr>
          <w:rFonts w:ascii="仿宋" w:hAnsi="仿宋" w:eastAsia="仿宋"/>
          <w:bCs/>
          <w:sz w:val="28"/>
          <w:szCs w:val="28"/>
          <w:highlight w:val="none"/>
        </w:rPr>
      </w:pPr>
    </w:p>
    <w:p w14:paraId="34FF839B">
      <w:pPr>
        <w:topLinePunct/>
        <w:spacing w:line="480" w:lineRule="auto"/>
        <w:ind w:firstLine="480"/>
        <w:rPr>
          <w:rFonts w:ascii="仿宋" w:hAnsi="仿宋" w:eastAsia="仿宋"/>
          <w:bCs/>
          <w:sz w:val="28"/>
          <w:szCs w:val="28"/>
          <w:highlight w:val="none"/>
        </w:rPr>
      </w:pPr>
      <w:r>
        <w:rPr>
          <w:rFonts w:hint="eastAsia" w:ascii="仿宋" w:hAnsi="仿宋" w:eastAsia="仿宋"/>
          <w:bCs/>
          <w:sz w:val="28"/>
          <w:szCs w:val="28"/>
          <w:highlight w:val="none"/>
          <w:lang w:eastAsia="zh-CN"/>
        </w:rPr>
        <w:t>报价</w:t>
      </w:r>
      <w:r>
        <w:rPr>
          <w:rFonts w:hint="eastAsia" w:ascii="仿宋" w:hAnsi="仿宋" w:eastAsia="仿宋"/>
          <w:bCs/>
          <w:sz w:val="28"/>
          <w:szCs w:val="28"/>
          <w:highlight w:val="none"/>
        </w:rPr>
        <w:t>供应商：（盖单位</w:t>
      </w:r>
      <w:r>
        <w:rPr>
          <w:rFonts w:hint="eastAsia" w:ascii="仿宋" w:hAnsi="仿宋" w:eastAsia="仿宋"/>
          <w:bCs/>
          <w:sz w:val="28"/>
          <w:szCs w:val="28"/>
          <w:highlight w:val="none"/>
          <w:lang w:eastAsia="zh-CN"/>
        </w:rPr>
        <w:t>公</w:t>
      </w:r>
      <w:r>
        <w:rPr>
          <w:rFonts w:hint="eastAsia" w:ascii="仿宋" w:hAnsi="仿宋" w:eastAsia="仿宋"/>
          <w:bCs/>
          <w:sz w:val="28"/>
          <w:szCs w:val="28"/>
          <w:highlight w:val="none"/>
        </w:rPr>
        <w:t>章）</w:t>
      </w:r>
    </w:p>
    <w:p w14:paraId="41F5E6EC">
      <w:pPr>
        <w:topLinePunct/>
        <w:spacing w:line="480" w:lineRule="auto"/>
        <w:ind w:firstLineChars="175"/>
        <w:rPr>
          <w:rFonts w:ascii="仿宋" w:hAnsi="仿宋" w:eastAsia="仿宋"/>
          <w:bCs/>
          <w:sz w:val="28"/>
          <w:szCs w:val="28"/>
          <w:highlight w:val="none"/>
        </w:rPr>
      </w:pPr>
      <w:r>
        <w:rPr>
          <w:rFonts w:hint="eastAsia" w:ascii="仿宋" w:hAnsi="仿宋" w:eastAsia="仿宋"/>
          <w:bCs/>
          <w:sz w:val="28"/>
          <w:szCs w:val="28"/>
          <w:highlight w:val="none"/>
        </w:rPr>
        <w:t>法定代表人：（盖章或签字）</w:t>
      </w:r>
    </w:p>
    <w:p w14:paraId="73EE4AEB">
      <w:pPr>
        <w:topLinePunct/>
        <w:spacing w:line="480" w:lineRule="auto"/>
        <w:ind w:firstLine="480"/>
        <w:rPr>
          <w:rFonts w:ascii="仿宋" w:hAnsi="仿宋" w:eastAsia="仿宋"/>
          <w:bCs/>
          <w:sz w:val="28"/>
          <w:szCs w:val="28"/>
          <w:highlight w:val="none"/>
        </w:rPr>
      </w:pPr>
      <w:r>
        <w:rPr>
          <w:rFonts w:hint="eastAsia" w:ascii="仿宋" w:hAnsi="仿宋" w:eastAsia="仿宋"/>
          <w:bCs/>
          <w:sz w:val="28"/>
          <w:szCs w:val="28"/>
          <w:highlight w:val="none"/>
          <w:lang w:eastAsia="zh-CN"/>
        </w:rPr>
        <w:t>日</w:t>
      </w:r>
      <w:r>
        <w:rPr>
          <w:rFonts w:hint="eastAsia" w:ascii="仿宋" w:hAnsi="仿宋" w:eastAsia="仿宋"/>
          <w:bCs/>
          <w:sz w:val="28"/>
          <w:szCs w:val="28"/>
          <w:highlight w:val="none"/>
          <w:lang w:val="en-US" w:eastAsia="zh-CN"/>
        </w:rPr>
        <w:t xml:space="preserve">  </w:t>
      </w:r>
      <w:r>
        <w:rPr>
          <w:rFonts w:hint="eastAsia" w:ascii="仿宋" w:hAnsi="仿宋" w:eastAsia="仿宋"/>
          <w:bCs/>
          <w:sz w:val="28"/>
          <w:szCs w:val="28"/>
          <w:highlight w:val="none"/>
          <w:lang w:eastAsia="zh-CN"/>
        </w:rPr>
        <w:t>期：</w:t>
      </w:r>
      <w:r>
        <w:rPr>
          <w:rFonts w:hint="eastAsia" w:ascii="仿宋" w:hAnsi="仿宋" w:eastAsia="仿宋"/>
          <w:bCs/>
          <w:sz w:val="28"/>
          <w:szCs w:val="28"/>
          <w:highlight w:val="none"/>
          <w:lang w:val="en-US" w:eastAsia="zh-CN"/>
        </w:rPr>
        <w:t xml:space="preserve">   </w:t>
      </w:r>
      <w:r>
        <w:rPr>
          <w:rFonts w:hint="eastAsia" w:ascii="仿宋" w:hAnsi="仿宋" w:eastAsia="仿宋"/>
          <w:bCs/>
          <w:sz w:val="28"/>
          <w:szCs w:val="28"/>
          <w:highlight w:val="none"/>
        </w:rPr>
        <w:t>年</w:t>
      </w:r>
      <w:r>
        <w:rPr>
          <w:rFonts w:hint="eastAsia" w:ascii="仿宋" w:hAnsi="仿宋" w:eastAsia="仿宋"/>
          <w:bCs/>
          <w:sz w:val="28"/>
          <w:szCs w:val="28"/>
          <w:highlight w:val="none"/>
          <w:lang w:val="en-US" w:eastAsia="zh-CN"/>
        </w:rPr>
        <w:t xml:space="preserve">  </w:t>
      </w:r>
      <w:r>
        <w:rPr>
          <w:rFonts w:hint="eastAsia" w:ascii="仿宋" w:hAnsi="仿宋" w:eastAsia="仿宋"/>
          <w:bCs/>
          <w:sz w:val="28"/>
          <w:szCs w:val="28"/>
          <w:highlight w:val="none"/>
        </w:rPr>
        <w:t>月</w:t>
      </w:r>
      <w:r>
        <w:rPr>
          <w:rFonts w:hint="eastAsia" w:ascii="仿宋" w:hAnsi="仿宋" w:eastAsia="仿宋"/>
          <w:bCs/>
          <w:sz w:val="28"/>
          <w:szCs w:val="28"/>
          <w:highlight w:val="none"/>
          <w:lang w:val="en-US" w:eastAsia="zh-CN"/>
        </w:rPr>
        <w:t xml:space="preserve">   </w:t>
      </w:r>
      <w:r>
        <w:rPr>
          <w:rFonts w:hint="eastAsia" w:ascii="仿宋" w:hAnsi="仿宋" w:eastAsia="仿宋"/>
          <w:bCs/>
          <w:sz w:val="28"/>
          <w:szCs w:val="28"/>
          <w:highlight w:val="none"/>
        </w:rPr>
        <w:t>日</w:t>
      </w:r>
    </w:p>
    <w:p w14:paraId="574181BF">
      <w:pPr>
        <w:widowControl w:val="0"/>
        <w:spacing w:line="240" w:lineRule="auto"/>
        <w:ind w:left="0" w:leftChars="0" w:firstLine="0" w:firstLineChars="0"/>
        <w:jc w:val="center"/>
        <w:outlineLvl w:val="1"/>
        <w:rPr>
          <w:rFonts w:ascii="仿宋" w:hAnsi="仿宋" w:eastAsia="仿宋"/>
          <w:b/>
          <w:color w:val="000000"/>
          <w:sz w:val="28"/>
          <w:szCs w:val="28"/>
          <w:highlight w:val="none"/>
        </w:rPr>
      </w:pPr>
      <w:r>
        <w:rPr>
          <w:rFonts w:ascii="仿宋" w:hAnsi="仿宋" w:eastAsia="仿宋"/>
          <w:sz w:val="28"/>
          <w:szCs w:val="28"/>
          <w:highlight w:val="none"/>
        </w:rPr>
        <w:br w:type="page"/>
      </w:r>
      <w:bookmarkStart w:id="60" w:name="_Toc9343238"/>
      <w:bookmarkStart w:id="61" w:name="_Toc18088"/>
      <w:bookmarkStart w:id="62" w:name="_Toc9342900"/>
      <w:bookmarkStart w:id="63" w:name="_Toc360113100"/>
      <w:bookmarkStart w:id="64" w:name="_Toc480983369"/>
      <w:bookmarkStart w:id="65" w:name="_Toc152047264"/>
      <w:bookmarkStart w:id="66" w:name="_Toc7797"/>
      <w:bookmarkStart w:id="67" w:name="_Toc144974468"/>
      <w:bookmarkStart w:id="68" w:name="_Toc14855"/>
      <w:bookmarkStart w:id="69" w:name="_Toc24340"/>
      <w:bookmarkStart w:id="70" w:name="_Toc330225908"/>
      <w:bookmarkStart w:id="71" w:name="_Toc20843"/>
      <w:bookmarkStart w:id="72" w:name="_Toc8519"/>
      <w:r>
        <w:rPr>
          <w:rFonts w:hint="eastAsia" w:ascii="仿宋" w:hAnsi="仿宋" w:eastAsia="仿宋"/>
          <w:sz w:val="28"/>
          <w:szCs w:val="28"/>
          <w:highlight w:val="none"/>
          <w:lang w:val="en-US" w:eastAsia="zh-CN"/>
        </w:rPr>
        <w:t>2.</w:t>
      </w:r>
      <w:r>
        <w:rPr>
          <w:rFonts w:hint="eastAsia" w:ascii="仿宋" w:hAnsi="仿宋" w:eastAsia="仿宋" w:cs="仿宋_GB2312"/>
          <w:b/>
          <w:bCs/>
          <w:sz w:val="28"/>
          <w:szCs w:val="28"/>
          <w:highlight w:val="none"/>
        </w:rPr>
        <w:t>法定代表人授权委托书</w:t>
      </w:r>
      <w:bookmarkEnd w:id="60"/>
      <w:bookmarkEnd w:id="61"/>
      <w:bookmarkEnd w:id="62"/>
      <w:bookmarkEnd w:id="63"/>
      <w:bookmarkEnd w:id="64"/>
      <w:bookmarkEnd w:id="65"/>
      <w:bookmarkEnd w:id="66"/>
      <w:bookmarkEnd w:id="67"/>
      <w:bookmarkEnd w:id="68"/>
      <w:bookmarkEnd w:id="69"/>
      <w:bookmarkEnd w:id="70"/>
      <w:bookmarkEnd w:id="71"/>
      <w:bookmarkEnd w:id="72"/>
    </w:p>
    <w:p w14:paraId="1331A829">
      <w:pPr>
        <w:spacing w:line="400" w:lineRule="exact"/>
        <w:ind w:firstLine="480"/>
        <w:rPr>
          <w:rFonts w:ascii="仿宋" w:hAnsi="仿宋" w:eastAsia="仿宋"/>
          <w:sz w:val="28"/>
          <w:szCs w:val="28"/>
          <w:highlight w:val="none"/>
        </w:rPr>
      </w:pPr>
    </w:p>
    <w:p w14:paraId="5226937B">
      <w:pPr>
        <w:topLinePunct/>
        <w:spacing w:line="440" w:lineRule="exact"/>
        <w:ind w:firstLine="480"/>
        <w:rPr>
          <w:rFonts w:ascii="仿宋" w:hAnsi="仿宋" w:eastAsia="仿宋"/>
          <w:sz w:val="28"/>
          <w:szCs w:val="28"/>
          <w:highlight w:val="none"/>
        </w:rPr>
      </w:pPr>
      <w:r>
        <w:rPr>
          <w:rFonts w:hint="eastAsia" w:ascii="仿宋" w:hAnsi="仿宋" w:eastAsia="仿宋"/>
          <w:sz w:val="28"/>
          <w:szCs w:val="28"/>
          <w:highlight w:val="none"/>
        </w:rPr>
        <w:t>本人</w:t>
      </w:r>
      <w:r>
        <w:rPr>
          <w:rFonts w:hint="eastAsia" w:ascii="仿宋" w:hAnsi="仿宋" w:eastAsia="仿宋"/>
          <w:sz w:val="28"/>
          <w:szCs w:val="28"/>
          <w:highlight w:val="none"/>
          <w:u w:val="single"/>
        </w:rPr>
        <w:t>（姓名）</w:t>
      </w:r>
      <w:r>
        <w:rPr>
          <w:rFonts w:hint="eastAsia" w:ascii="仿宋" w:hAnsi="仿宋" w:eastAsia="仿宋"/>
          <w:sz w:val="28"/>
          <w:szCs w:val="28"/>
          <w:highlight w:val="none"/>
        </w:rPr>
        <w:t>系</w:t>
      </w:r>
      <w:r>
        <w:rPr>
          <w:rFonts w:hint="eastAsia" w:ascii="仿宋" w:hAnsi="仿宋" w:eastAsia="仿宋"/>
          <w:sz w:val="28"/>
          <w:szCs w:val="28"/>
          <w:highlight w:val="none"/>
          <w:u w:val="single"/>
        </w:rPr>
        <w:t>（</w:t>
      </w:r>
      <w:r>
        <w:rPr>
          <w:rFonts w:hint="eastAsia" w:ascii="仿宋" w:hAnsi="仿宋" w:eastAsia="仿宋"/>
          <w:bCs/>
          <w:sz w:val="28"/>
          <w:szCs w:val="28"/>
          <w:highlight w:val="none"/>
        </w:rPr>
        <w:t>报价供应商</w:t>
      </w:r>
      <w:r>
        <w:rPr>
          <w:rFonts w:hint="eastAsia" w:ascii="仿宋" w:hAnsi="仿宋" w:eastAsia="仿宋"/>
          <w:sz w:val="28"/>
          <w:szCs w:val="28"/>
          <w:highlight w:val="none"/>
          <w:u w:val="single"/>
        </w:rPr>
        <w:t>名称）</w:t>
      </w:r>
      <w:r>
        <w:rPr>
          <w:rFonts w:hint="eastAsia" w:ascii="仿宋" w:hAnsi="仿宋" w:eastAsia="仿宋"/>
          <w:sz w:val="28"/>
          <w:szCs w:val="28"/>
          <w:highlight w:val="none"/>
        </w:rPr>
        <w:t>的法定代表人，现委托</w:t>
      </w:r>
      <w:r>
        <w:rPr>
          <w:rFonts w:hint="eastAsia" w:ascii="仿宋" w:hAnsi="仿宋" w:eastAsia="仿宋"/>
          <w:sz w:val="28"/>
          <w:szCs w:val="28"/>
          <w:highlight w:val="none"/>
          <w:u w:val="single"/>
        </w:rPr>
        <w:t>（姓名）</w:t>
      </w:r>
      <w:r>
        <w:rPr>
          <w:rFonts w:hint="eastAsia" w:ascii="仿宋" w:hAnsi="仿宋" w:eastAsia="仿宋"/>
          <w:sz w:val="28"/>
          <w:szCs w:val="28"/>
          <w:highlight w:val="none"/>
        </w:rPr>
        <w:t>为我方代理人</w:t>
      </w:r>
      <w:r>
        <w:rPr>
          <w:rFonts w:hint="eastAsia" w:ascii="仿宋" w:hAnsi="仿宋" w:eastAsia="仿宋"/>
          <w:sz w:val="28"/>
          <w:szCs w:val="28"/>
          <w:highlight w:val="none"/>
          <w:lang w:eastAsia="zh-CN"/>
        </w:rPr>
        <w:t>，参加</w:t>
      </w:r>
      <w:r>
        <w:rPr>
          <w:rFonts w:hint="eastAsia" w:ascii="仿宋" w:hAnsi="仿宋" w:eastAsia="仿宋"/>
          <w:sz w:val="28"/>
          <w:szCs w:val="28"/>
          <w:highlight w:val="none"/>
          <w:u w:val="single"/>
          <w:lang w:val="en-US" w:eastAsia="zh-CN"/>
        </w:rPr>
        <w:t xml:space="preserve">  （项目名称）        </w:t>
      </w:r>
      <w:r>
        <w:rPr>
          <w:rFonts w:hint="eastAsia" w:ascii="仿宋" w:hAnsi="仿宋" w:eastAsia="仿宋"/>
          <w:sz w:val="28"/>
          <w:szCs w:val="28"/>
          <w:highlight w:val="none"/>
          <w:u w:val="none"/>
          <w:lang w:val="en-US" w:eastAsia="zh-CN"/>
        </w:rPr>
        <w:t>的采购活动</w:t>
      </w:r>
      <w:r>
        <w:rPr>
          <w:rFonts w:hint="eastAsia" w:ascii="仿宋" w:hAnsi="仿宋" w:eastAsia="仿宋"/>
          <w:sz w:val="28"/>
          <w:szCs w:val="28"/>
          <w:highlight w:val="none"/>
          <w:lang w:eastAsia="zh-CN"/>
        </w:rPr>
        <w:t>。并在此项目采购过程中签署一切相关文件和处理与之有关的一切事务，</w:t>
      </w:r>
      <w:r>
        <w:rPr>
          <w:rFonts w:hint="eastAsia" w:ascii="仿宋" w:hAnsi="仿宋" w:eastAsia="仿宋"/>
          <w:sz w:val="28"/>
          <w:szCs w:val="28"/>
          <w:highlight w:val="none"/>
        </w:rPr>
        <w:t>其法律后果由我方承担。</w:t>
      </w:r>
    </w:p>
    <w:p w14:paraId="2ABF05BD">
      <w:pPr>
        <w:topLinePunct/>
        <w:spacing w:line="440" w:lineRule="exact"/>
        <w:ind w:firstLine="480"/>
        <w:rPr>
          <w:rFonts w:ascii="仿宋" w:hAnsi="仿宋" w:eastAsia="仿宋"/>
          <w:sz w:val="28"/>
          <w:szCs w:val="28"/>
          <w:highlight w:val="none"/>
          <w:u w:val="single"/>
        </w:rPr>
      </w:pPr>
      <w:r>
        <w:rPr>
          <w:rFonts w:hint="eastAsia" w:ascii="仿宋" w:hAnsi="仿宋" w:eastAsia="仿宋"/>
          <w:sz w:val="28"/>
          <w:szCs w:val="28"/>
          <w:highlight w:val="none"/>
        </w:rPr>
        <w:t>委托期限：</w:t>
      </w:r>
      <w:r>
        <w:rPr>
          <w:rFonts w:ascii="仿宋" w:hAnsi="仿宋" w:eastAsia="仿宋"/>
          <w:sz w:val="28"/>
          <w:szCs w:val="28"/>
          <w:highlight w:val="none"/>
          <w:u w:val="single"/>
        </w:rPr>
        <w:t xml:space="preserve"> 90</w:t>
      </w:r>
      <w:r>
        <w:rPr>
          <w:rFonts w:hint="eastAsia" w:ascii="仿宋" w:hAnsi="仿宋" w:eastAsia="仿宋"/>
          <w:sz w:val="28"/>
          <w:szCs w:val="28"/>
          <w:highlight w:val="none"/>
          <w:u w:val="single"/>
        </w:rPr>
        <w:t>日历天</w:t>
      </w:r>
      <w:r>
        <w:rPr>
          <w:rFonts w:hint="eastAsia" w:ascii="仿宋" w:hAnsi="仿宋" w:eastAsia="仿宋"/>
          <w:sz w:val="28"/>
          <w:szCs w:val="28"/>
          <w:highlight w:val="none"/>
        </w:rPr>
        <w:t>。</w:t>
      </w:r>
    </w:p>
    <w:p w14:paraId="60C8A887">
      <w:pPr>
        <w:topLinePunct/>
        <w:spacing w:line="440" w:lineRule="exact"/>
        <w:ind w:firstLine="480"/>
        <w:rPr>
          <w:rFonts w:ascii="仿宋" w:hAnsi="仿宋" w:eastAsia="仿宋"/>
          <w:sz w:val="28"/>
          <w:szCs w:val="28"/>
          <w:highlight w:val="none"/>
        </w:rPr>
      </w:pPr>
      <w:r>
        <w:rPr>
          <w:rFonts w:hint="eastAsia" w:ascii="仿宋" w:hAnsi="仿宋" w:eastAsia="仿宋"/>
          <w:sz w:val="28"/>
          <w:szCs w:val="28"/>
          <w:highlight w:val="none"/>
        </w:rPr>
        <w:t>代理人无转委托权。</w:t>
      </w:r>
    </w:p>
    <w:p w14:paraId="41C22ED7">
      <w:pPr>
        <w:topLinePunct/>
        <w:spacing w:line="440" w:lineRule="exact"/>
        <w:ind w:firstLine="480"/>
        <w:rPr>
          <w:rFonts w:ascii="仿宋" w:hAnsi="仿宋" w:eastAsia="仿宋"/>
          <w:sz w:val="28"/>
          <w:szCs w:val="28"/>
          <w:highlight w:val="none"/>
        </w:rPr>
      </w:pPr>
      <w:r>
        <w:rPr>
          <w:rFonts w:hint="eastAsia" w:ascii="仿宋" w:hAnsi="仿宋" w:eastAsia="仿宋"/>
          <w:sz w:val="28"/>
          <w:szCs w:val="28"/>
          <w:highlight w:val="none"/>
        </w:rPr>
        <w:t>附：法定代表人身份证及被授权人身份证复印件</w:t>
      </w:r>
    </w:p>
    <w:p w14:paraId="4B768365">
      <w:pPr>
        <w:topLinePunct/>
        <w:spacing w:line="440" w:lineRule="exact"/>
        <w:ind w:firstLine="480"/>
        <w:rPr>
          <w:rFonts w:ascii="仿宋" w:hAnsi="仿宋" w:eastAsia="仿宋"/>
          <w:sz w:val="24"/>
          <w:highlight w:val="none"/>
        </w:rPr>
      </w:pPr>
    </w:p>
    <w:tbl>
      <w:tblPr>
        <w:tblStyle w:val="17"/>
        <w:tblW w:w="87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86"/>
        <w:gridCol w:w="4386"/>
      </w:tblGrid>
      <w:tr w14:paraId="19C99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2" w:hRule="atLeast"/>
          <w:jc w:val="center"/>
        </w:trPr>
        <w:tc>
          <w:tcPr>
            <w:tcW w:w="4386" w:type="dxa"/>
            <w:vAlign w:val="center"/>
          </w:tcPr>
          <w:p w14:paraId="3F456EB5">
            <w:pPr>
              <w:widowControl w:val="0"/>
              <w:spacing w:line="360" w:lineRule="auto"/>
              <w:jc w:val="center"/>
              <w:rPr>
                <w:rFonts w:ascii="仿宋" w:hAnsi="仿宋" w:eastAsia="仿宋"/>
                <w:highlight w:val="none"/>
              </w:rPr>
            </w:pPr>
            <w:bookmarkStart w:id="73" w:name="_Hlk10043326"/>
          </w:p>
        </w:tc>
        <w:tc>
          <w:tcPr>
            <w:tcW w:w="4386" w:type="dxa"/>
            <w:vAlign w:val="center"/>
          </w:tcPr>
          <w:p w14:paraId="1EE0535A">
            <w:pPr>
              <w:widowControl w:val="0"/>
              <w:spacing w:line="360" w:lineRule="auto"/>
              <w:jc w:val="center"/>
              <w:rPr>
                <w:rFonts w:ascii="仿宋" w:hAnsi="仿宋" w:eastAsia="仿宋"/>
                <w:highlight w:val="none"/>
              </w:rPr>
            </w:pPr>
          </w:p>
        </w:tc>
      </w:tr>
      <w:tr w14:paraId="4BA66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3" w:hRule="atLeast"/>
          <w:jc w:val="center"/>
        </w:trPr>
        <w:tc>
          <w:tcPr>
            <w:tcW w:w="4386" w:type="dxa"/>
            <w:vAlign w:val="center"/>
          </w:tcPr>
          <w:p w14:paraId="16DB0BC5">
            <w:pPr>
              <w:widowControl w:val="0"/>
              <w:spacing w:line="360" w:lineRule="auto"/>
              <w:jc w:val="center"/>
              <w:rPr>
                <w:rFonts w:ascii="仿宋" w:hAnsi="仿宋" w:eastAsia="仿宋"/>
                <w:highlight w:val="none"/>
              </w:rPr>
            </w:pPr>
          </w:p>
        </w:tc>
        <w:tc>
          <w:tcPr>
            <w:tcW w:w="4386" w:type="dxa"/>
            <w:vAlign w:val="center"/>
          </w:tcPr>
          <w:p w14:paraId="31CB9B13">
            <w:pPr>
              <w:widowControl w:val="0"/>
              <w:spacing w:line="360" w:lineRule="auto"/>
              <w:jc w:val="center"/>
              <w:rPr>
                <w:rFonts w:ascii="仿宋" w:hAnsi="仿宋" w:eastAsia="仿宋"/>
                <w:highlight w:val="none"/>
              </w:rPr>
            </w:pPr>
          </w:p>
        </w:tc>
      </w:tr>
      <w:bookmarkEnd w:id="73"/>
    </w:tbl>
    <w:p w14:paraId="3025A89A">
      <w:pPr>
        <w:topLinePunct/>
        <w:spacing w:line="360" w:lineRule="auto"/>
        <w:rPr>
          <w:rFonts w:hint="eastAsia" w:ascii="仿宋" w:hAnsi="仿宋" w:eastAsia="仿宋" w:cs="仿宋_GB2312"/>
          <w:sz w:val="24"/>
          <w:highlight w:val="none"/>
          <w:lang w:eastAsia="zh-CN"/>
        </w:rPr>
      </w:pPr>
      <w:r>
        <w:rPr>
          <w:rFonts w:hint="eastAsia" w:ascii="仿宋" w:hAnsi="仿宋" w:eastAsia="仿宋" w:cs="仿宋_GB2312"/>
          <w:sz w:val="24"/>
          <w:highlight w:val="none"/>
          <w:lang w:eastAsia="zh-CN"/>
        </w:rPr>
        <w:t>（仅</w:t>
      </w:r>
      <w:r>
        <w:rPr>
          <w:rFonts w:hint="eastAsia" w:ascii="仿宋" w:hAnsi="仿宋" w:eastAsia="仿宋" w:cs="仿宋_GB2312"/>
          <w:sz w:val="24"/>
          <w:highlight w:val="none"/>
        </w:rPr>
        <w:t>委托代理人</w:t>
      </w:r>
      <w:r>
        <w:rPr>
          <w:rFonts w:hint="eastAsia" w:ascii="仿宋" w:hAnsi="仿宋" w:eastAsia="仿宋" w:cs="仿宋_GB2312"/>
          <w:sz w:val="24"/>
          <w:highlight w:val="none"/>
          <w:lang w:eastAsia="zh-CN"/>
        </w:rPr>
        <w:t>报价时提供）</w:t>
      </w:r>
    </w:p>
    <w:p w14:paraId="5CD27311">
      <w:pPr>
        <w:topLinePunct/>
        <w:spacing w:line="360" w:lineRule="auto"/>
        <w:ind w:firstLine="3360" w:firstLineChars="1400"/>
        <w:rPr>
          <w:rFonts w:ascii="仿宋" w:hAnsi="仿宋" w:eastAsia="仿宋" w:cs="仿宋_GB2312"/>
          <w:sz w:val="24"/>
          <w:highlight w:val="none"/>
        </w:rPr>
      </w:pPr>
    </w:p>
    <w:p w14:paraId="76B1CE23">
      <w:pPr>
        <w:topLinePunct/>
        <w:spacing w:line="360" w:lineRule="auto"/>
        <w:ind w:firstLineChars="175"/>
        <w:jc w:val="both"/>
        <w:rPr>
          <w:rFonts w:ascii="仿宋" w:hAnsi="仿宋" w:eastAsia="仿宋" w:cs="仿宋_GB2312"/>
          <w:sz w:val="24"/>
          <w:highlight w:val="none"/>
        </w:rPr>
      </w:pPr>
      <w:r>
        <w:rPr>
          <w:rFonts w:hint="eastAsia" w:ascii="仿宋" w:hAnsi="仿宋" w:eastAsia="仿宋" w:cs="仿宋_GB2312"/>
          <w:sz w:val="24"/>
          <w:highlight w:val="none"/>
          <w:lang w:val="en-US" w:eastAsia="zh-CN"/>
        </w:rPr>
        <w:t>报价供应商</w:t>
      </w:r>
      <w:r>
        <w:rPr>
          <w:rFonts w:hint="eastAsia" w:ascii="仿宋" w:hAnsi="仿宋" w:eastAsia="仿宋" w:cs="仿宋_GB2312"/>
          <w:sz w:val="24"/>
          <w:highlight w:val="none"/>
        </w:rPr>
        <w:t>：（盖单位</w:t>
      </w:r>
      <w:r>
        <w:rPr>
          <w:rFonts w:hint="eastAsia" w:ascii="仿宋" w:hAnsi="仿宋" w:eastAsia="仿宋" w:cs="仿宋_GB2312"/>
          <w:sz w:val="24"/>
          <w:highlight w:val="none"/>
          <w:lang w:eastAsia="zh-CN"/>
        </w:rPr>
        <w:t>公</w:t>
      </w:r>
      <w:r>
        <w:rPr>
          <w:rFonts w:hint="eastAsia" w:ascii="仿宋" w:hAnsi="仿宋" w:eastAsia="仿宋" w:cs="仿宋_GB2312"/>
          <w:sz w:val="24"/>
          <w:highlight w:val="none"/>
        </w:rPr>
        <w:t>章）</w:t>
      </w:r>
    </w:p>
    <w:p w14:paraId="022EE4F5">
      <w:pPr>
        <w:topLinePunct/>
        <w:spacing w:line="360" w:lineRule="auto"/>
        <w:ind w:firstLineChars="175"/>
        <w:jc w:val="both"/>
        <w:rPr>
          <w:rFonts w:ascii="仿宋" w:hAnsi="仿宋" w:eastAsia="仿宋" w:cs="仿宋_GB2312"/>
          <w:sz w:val="24"/>
          <w:highlight w:val="none"/>
        </w:rPr>
      </w:pPr>
      <w:r>
        <w:rPr>
          <w:rFonts w:hint="eastAsia" w:ascii="仿宋" w:hAnsi="仿宋" w:eastAsia="仿宋" w:cs="仿宋_GB2312"/>
          <w:sz w:val="24"/>
          <w:highlight w:val="none"/>
        </w:rPr>
        <w:t>法定代表人：（盖章或签字）</w:t>
      </w:r>
    </w:p>
    <w:p w14:paraId="4852E5DB">
      <w:pPr>
        <w:topLinePunct/>
        <w:spacing w:line="360" w:lineRule="auto"/>
        <w:ind w:firstLineChars="175"/>
        <w:jc w:val="both"/>
        <w:rPr>
          <w:rFonts w:ascii="仿宋" w:hAnsi="仿宋" w:eastAsia="仿宋" w:cs="仿宋_GB2312"/>
          <w:sz w:val="24"/>
          <w:highlight w:val="none"/>
          <w:u w:val="single"/>
        </w:rPr>
      </w:pPr>
      <w:r>
        <w:rPr>
          <w:rFonts w:hint="eastAsia" w:ascii="仿宋" w:hAnsi="仿宋" w:eastAsia="仿宋" w:cs="仿宋_GB2312"/>
          <w:sz w:val="24"/>
          <w:highlight w:val="none"/>
        </w:rPr>
        <w:t>身份证号码：</w:t>
      </w:r>
    </w:p>
    <w:p w14:paraId="16B334AF">
      <w:pPr>
        <w:topLinePunct/>
        <w:spacing w:line="360" w:lineRule="auto"/>
        <w:ind w:firstLineChars="175"/>
        <w:jc w:val="both"/>
        <w:rPr>
          <w:rFonts w:ascii="仿宋" w:hAnsi="仿宋" w:eastAsia="仿宋" w:cs="仿宋_GB2312"/>
          <w:sz w:val="24"/>
          <w:highlight w:val="none"/>
        </w:rPr>
      </w:pPr>
      <w:r>
        <w:rPr>
          <w:rFonts w:hint="eastAsia" w:ascii="仿宋" w:hAnsi="仿宋" w:eastAsia="仿宋" w:cs="仿宋_GB2312"/>
          <w:sz w:val="24"/>
          <w:highlight w:val="none"/>
        </w:rPr>
        <w:t>委托代理人：（签字）</w:t>
      </w:r>
    </w:p>
    <w:p w14:paraId="3056A51B">
      <w:pPr>
        <w:topLinePunct/>
        <w:spacing w:line="360" w:lineRule="auto"/>
        <w:ind w:firstLineChars="175"/>
        <w:jc w:val="both"/>
        <w:rPr>
          <w:rFonts w:ascii="仿宋" w:hAnsi="仿宋" w:eastAsia="仿宋" w:cs="仿宋_GB2312"/>
          <w:sz w:val="24"/>
          <w:highlight w:val="none"/>
          <w:u w:val="single"/>
        </w:rPr>
      </w:pPr>
      <w:r>
        <w:rPr>
          <w:rFonts w:hint="eastAsia" w:ascii="仿宋" w:hAnsi="仿宋" w:eastAsia="仿宋" w:cs="仿宋_GB2312"/>
          <w:sz w:val="24"/>
          <w:highlight w:val="none"/>
        </w:rPr>
        <w:t>身份证号码：</w:t>
      </w:r>
    </w:p>
    <w:p w14:paraId="62845010">
      <w:pPr>
        <w:topLinePunct/>
        <w:spacing w:line="360" w:lineRule="auto"/>
        <w:ind w:firstLineChars="175"/>
        <w:jc w:val="both"/>
        <w:rPr>
          <w:rFonts w:ascii="仿宋" w:hAnsi="仿宋" w:eastAsia="仿宋" w:cs="仿宋_GB2312"/>
          <w:sz w:val="24"/>
          <w:highlight w:val="none"/>
        </w:rPr>
      </w:pPr>
      <w:r>
        <w:rPr>
          <w:rFonts w:hint="eastAsia" w:ascii="仿宋" w:hAnsi="仿宋" w:eastAsia="仿宋" w:cs="仿宋_GB2312"/>
          <w:sz w:val="24"/>
          <w:highlight w:val="none"/>
          <w:lang w:eastAsia="zh-CN"/>
        </w:rPr>
        <w:t>日</w:t>
      </w:r>
      <w:r>
        <w:rPr>
          <w:rFonts w:hint="eastAsia" w:ascii="仿宋" w:hAnsi="仿宋" w:eastAsia="仿宋" w:cs="仿宋_GB2312"/>
          <w:sz w:val="24"/>
          <w:highlight w:val="none"/>
          <w:lang w:val="en-US" w:eastAsia="zh-CN"/>
        </w:rPr>
        <w:t xml:space="preserve">    </w:t>
      </w:r>
      <w:r>
        <w:rPr>
          <w:rFonts w:hint="eastAsia" w:ascii="仿宋" w:hAnsi="仿宋" w:eastAsia="仿宋" w:cs="仿宋_GB2312"/>
          <w:sz w:val="24"/>
          <w:highlight w:val="none"/>
          <w:lang w:eastAsia="zh-CN"/>
        </w:rPr>
        <w:t>期：</w:t>
      </w:r>
      <w:r>
        <w:rPr>
          <w:rFonts w:hint="eastAsia" w:ascii="仿宋" w:hAnsi="仿宋" w:eastAsia="仿宋" w:cs="仿宋_GB2312"/>
          <w:sz w:val="24"/>
          <w:highlight w:val="none"/>
          <w:lang w:val="en-US" w:eastAsia="zh-CN"/>
        </w:rPr>
        <w:t xml:space="preserve">    </w:t>
      </w:r>
      <w:r>
        <w:rPr>
          <w:rFonts w:hint="eastAsia" w:ascii="仿宋" w:hAnsi="仿宋" w:eastAsia="仿宋" w:cs="仿宋_GB2312"/>
          <w:sz w:val="24"/>
          <w:highlight w:val="none"/>
        </w:rPr>
        <w:t>年</w:t>
      </w:r>
      <w:r>
        <w:rPr>
          <w:rFonts w:hint="eastAsia" w:ascii="仿宋" w:hAnsi="仿宋" w:eastAsia="仿宋" w:cs="仿宋_GB2312"/>
          <w:sz w:val="24"/>
          <w:highlight w:val="none"/>
          <w:lang w:val="en-US" w:eastAsia="zh-CN"/>
        </w:rPr>
        <w:t xml:space="preserve">   </w:t>
      </w:r>
      <w:r>
        <w:rPr>
          <w:rFonts w:hint="eastAsia" w:ascii="仿宋" w:hAnsi="仿宋" w:eastAsia="仿宋" w:cs="仿宋_GB2312"/>
          <w:sz w:val="24"/>
          <w:highlight w:val="none"/>
        </w:rPr>
        <w:t>月</w:t>
      </w:r>
      <w:r>
        <w:rPr>
          <w:rFonts w:hint="eastAsia" w:ascii="仿宋" w:hAnsi="仿宋" w:eastAsia="仿宋" w:cs="仿宋_GB2312"/>
          <w:sz w:val="24"/>
          <w:highlight w:val="none"/>
          <w:lang w:val="en-US" w:eastAsia="zh-CN"/>
        </w:rPr>
        <w:t xml:space="preserve">    </w:t>
      </w:r>
      <w:r>
        <w:rPr>
          <w:rFonts w:hint="eastAsia" w:ascii="仿宋" w:hAnsi="仿宋" w:eastAsia="仿宋" w:cs="仿宋_GB2312"/>
          <w:sz w:val="24"/>
          <w:highlight w:val="none"/>
        </w:rPr>
        <w:t>日</w:t>
      </w:r>
    </w:p>
    <w:p w14:paraId="0925DC2A">
      <w:pPr>
        <w:widowControl w:val="0"/>
        <w:spacing w:line="240" w:lineRule="auto"/>
        <w:ind w:firstLine="480"/>
        <w:jc w:val="center"/>
        <w:outlineLvl w:val="1"/>
        <w:rPr>
          <w:rFonts w:hint="eastAsia" w:ascii="仿宋" w:hAnsi="仿宋" w:eastAsia="仿宋" w:cs="仿宋_GB2312"/>
          <w:b/>
          <w:bCs/>
          <w:sz w:val="28"/>
          <w:highlight w:val="none"/>
          <w:lang w:eastAsia="zh-CN"/>
        </w:rPr>
      </w:pPr>
      <w:bookmarkStart w:id="74" w:name="_Toc360113103"/>
      <w:bookmarkStart w:id="75" w:name="_Toc25912"/>
      <w:bookmarkStart w:id="76" w:name="_Toc330225911"/>
      <w:bookmarkStart w:id="77" w:name="_Toc480983370"/>
      <w:bookmarkStart w:id="78" w:name="_Toc9342901"/>
      <w:bookmarkStart w:id="79" w:name="_Toc5332"/>
      <w:bookmarkStart w:id="80" w:name="_Toc25339"/>
      <w:bookmarkStart w:id="81" w:name="_Toc8819"/>
      <w:bookmarkStart w:id="82" w:name="_Toc29416"/>
      <w:bookmarkStart w:id="83" w:name="_Toc25295"/>
      <w:bookmarkStart w:id="84" w:name="_Toc152047266"/>
      <w:bookmarkStart w:id="85" w:name="_Toc9343239"/>
      <w:bookmarkStart w:id="86" w:name="_Toc144974470"/>
    </w:p>
    <w:p w14:paraId="683471F8">
      <w:pPr>
        <w:widowControl w:val="0"/>
        <w:spacing w:line="240" w:lineRule="auto"/>
        <w:ind w:firstLine="480"/>
        <w:jc w:val="center"/>
        <w:outlineLvl w:val="1"/>
        <w:rPr>
          <w:rFonts w:hint="eastAsia" w:ascii="仿宋" w:hAnsi="仿宋" w:eastAsia="仿宋" w:cs="仿宋_GB2312"/>
          <w:b/>
          <w:bCs/>
          <w:sz w:val="28"/>
          <w:highlight w:val="none"/>
          <w:lang w:eastAsia="zh-CN"/>
        </w:rPr>
      </w:pPr>
    </w:p>
    <w:p w14:paraId="1D90760D">
      <w:pPr>
        <w:widowControl w:val="0"/>
        <w:spacing w:line="240" w:lineRule="auto"/>
        <w:ind w:firstLine="480"/>
        <w:jc w:val="center"/>
        <w:outlineLvl w:val="1"/>
        <w:rPr>
          <w:rFonts w:hint="eastAsia" w:ascii="仿宋" w:hAnsi="仿宋" w:eastAsia="仿宋" w:cs="仿宋_GB2312"/>
          <w:b/>
          <w:bCs/>
          <w:sz w:val="28"/>
          <w:highlight w:val="none"/>
          <w:lang w:eastAsia="zh-CN"/>
        </w:rPr>
      </w:pPr>
    </w:p>
    <w:p w14:paraId="7C9AA9A1">
      <w:pPr>
        <w:widowControl w:val="0"/>
        <w:spacing w:line="240" w:lineRule="auto"/>
        <w:ind w:firstLine="480"/>
        <w:jc w:val="center"/>
        <w:outlineLvl w:val="1"/>
        <w:rPr>
          <w:rFonts w:hint="eastAsia" w:ascii="仿宋" w:hAnsi="仿宋" w:eastAsia="仿宋" w:cs="仿宋_GB2312"/>
          <w:b/>
          <w:bCs/>
          <w:sz w:val="28"/>
          <w:highlight w:val="none"/>
          <w:lang w:eastAsia="zh-CN"/>
        </w:rPr>
      </w:pPr>
    </w:p>
    <w:p w14:paraId="71397F73">
      <w:pPr>
        <w:widowControl w:val="0"/>
        <w:spacing w:line="240" w:lineRule="auto"/>
        <w:ind w:firstLine="480"/>
        <w:jc w:val="center"/>
        <w:outlineLvl w:val="1"/>
        <w:rPr>
          <w:rFonts w:hint="eastAsia" w:ascii="仿宋" w:hAnsi="仿宋" w:eastAsia="仿宋" w:cs="仿宋_GB2312"/>
          <w:b/>
          <w:bCs/>
          <w:sz w:val="28"/>
          <w:highlight w:val="none"/>
          <w:lang w:eastAsia="zh-CN"/>
        </w:rPr>
      </w:pPr>
    </w:p>
    <w:p w14:paraId="1889EFE2">
      <w:pPr>
        <w:widowControl w:val="0"/>
        <w:spacing w:line="240" w:lineRule="auto"/>
        <w:ind w:firstLine="480"/>
        <w:jc w:val="center"/>
        <w:outlineLvl w:val="1"/>
        <w:rPr>
          <w:rFonts w:hint="eastAsia" w:ascii="仿宋" w:hAnsi="仿宋" w:eastAsia="仿宋" w:cs="仿宋_GB2312"/>
          <w:b/>
          <w:bCs/>
          <w:sz w:val="28"/>
          <w:highlight w:val="none"/>
          <w:lang w:eastAsia="zh-CN"/>
        </w:rPr>
      </w:pPr>
    </w:p>
    <w:p w14:paraId="3E141503">
      <w:pPr>
        <w:widowControl w:val="0"/>
        <w:spacing w:line="240" w:lineRule="auto"/>
        <w:ind w:firstLine="480"/>
        <w:jc w:val="center"/>
        <w:outlineLvl w:val="1"/>
        <w:rPr>
          <w:rFonts w:hint="eastAsia" w:ascii="仿宋" w:hAnsi="仿宋" w:eastAsia="仿宋" w:cs="仿宋_GB2312"/>
          <w:b/>
          <w:bCs/>
          <w:sz w:val="28"/>
          <w:highlight w:val="none"/>
          <w:lang w:eastAsia="zh-CN"/>
        </w:rPr>
      </w:pPr>
    </w:p>
    <w:p w14:paraId="0CEB9521">
      <w:pPr>
        <w:spacing w:before="27" w:line="221" w:lineRule="auto"/>
        <w:ind w:left="2197"/>
        <w:rPr>
          <w:rFonts w:ascii="黑体" w:hAnsi="黑体" w:eastAsia="黑体" w:cs="黑体"/>
          <w:sz w:val="28"/>
          <w:szCs w:val="28"/>
          <w:highlight w:val="none"/>
        </w:rPr>
      </w:pPr>
      <w:r>
        <w:rPr>
          <w:rFonts w:hint="eastAsia" w:ascii="黑体" w:hAnsi="黑体" w:eastAsia="黑体" w:cs="黑体"/>
          <w:b/>
          <w:bCs/>
          <w:spacing w:val="6"/>
          <w:sz w:val="31"/>
          <w:szCs w:val="31"/>
          <w:highlight w:val="none"/>
          <w:lang w:val="en-US" w:eastAsia="zh-CN"/>
        </w:rPr>
        <w:t>3.</w:t>
      </w:r>
      <w:r>
        <w:rPr>
          <w:rFonts w:ascii="黑体" w:hAnsi="黑体" w:eastAsia="黑体" w:cs="黑体"/>
          <w:spacing w:val="-10"/>
          <w:sz w:val="28"/>
          <w:szCs w:val="28"/>
          <w:highlight w:val="none"/>
        </w:rPr>
        <w:t>近三年内在经营活动中无重大违法记录和行贿犯罪记录的</w:t>
      </w:r>
      <w:r>
        <w:rPr>
          <w:rFonts w:ascii="黑体" w:hAnsi="黑体" w:eastAsia="黑体" w:cs="黑体"/>
          <w:spacing w:val="-11"/>
          <w:sz w:val="28"/>
          <w:szCs w:val="28"/>
          <w:highlight w:val="none"/>
        </w:rPr>
        <w:t>声明</w:t>
      </w:r>
    </w:p>
    <w:p w14:paraId="7DF5ED81">
      <w:pPr>
        <w:spacing w:line="337" w:lineRule="auto"/>
        <w:rPr>
          <w:rFonts w:ascii="Arial"/>
          <w:sz w:val="21"/>
          <w:highlight w:val="none"/>
        </w:rPr>
      </w:pPr>
    </w:p>
    <w:p w14:paraId="7DF83327">
      <w:pPr>
        <w:spacing w:line="337" w:lineRule="auto"/>
        <w:rPr>
          <w:rFonts w:ascii="Arial"/>
          <w:sz w:val="21"/>
          <w:highlight w:val="none"/>
        </w:rPr>
      </w:pPr>
    </w:p>
    <w:p w14:paraId="2EDC46C1">
      <w:pPr>
        <w:pStyle w:val="8"/>
        <w:spacing w:before="68" w:line="218" w:lineRule="auto"/>
        <w:ind w:left="2231"/>
        <w:rPr>
          <w:sz w:val="21"/>
          <w:szCs w:val="21"/>
          <w:highlight w:val="none"/>
        </w:rPr>
      </w:pPr>
      <w:r>
        <w:rPr>
          <w:spacing w:val="-1"/>
          <w:sz w:val="21"/>
          <w:szCs w:val="21"/>
          <w:highlight w:val="none"/>
        </w:rPr>
        <w:t>一、我方在参加（项目名称）投标活动前三年内,在</w:t>
      </w:r>
      <w:r>
        <w:rPr>
          <w:spacing w:val="-2"/>
          <w:sz w:val="21"/>
          <w:szCs w:val="21"/>
          <w:highlight w:val="none"/>
        </w:rPr>
        <w:t>经营活动中：</w:t>
      </w:r>
    </w:p>
    <w:p w14:paraId="6197FE68">
      <w:pPr>
        <w:pStyle w:val="8"/>
        <w:spacing w:before="159" w:line="290" w:lineRule="auto"/>
        <w:ind w:left="1809" w:right="1813" w:firstLine="434"/>
        <w:rPr>
          <w:sz w:val="21"/>
          <w:szCs w:val="21"/>
          <w:highlight w:val="none"/>
        </w:rPr>
      </w:pPr>
      <w:r>
        <w:rPr>
          <w:spacing w:val="-1"/>
          <w:sz w:val="21"/>
          <w:szCs w:val="21"/>
          <w:highlight w:val="none"/>
        </w:rPr>
        <w:t>1、没有重大违法记录（重大违法记录指投标人因违法经营受到刑事处罚或者责令停产</w:t>
      </w:r>
      <w:r>
        <w:rPr>
          <w:spacing w:val="4"/>
          <w:sz w:val="21"/>
          <w:szCs w:val="21"/>
          <w:highlight w:val="none"/>
        </w:rPr>
        <w:t xml:space="preserve"> </w:t>
      </w:r>
      <w:r>
        <w:rPr>
          <w:sz w:val="21"/>
          <w:szCs w:val="21"/>
          <w:highlight w:val="none"/>
        </w:rPr>
        <w:t>停业、吊销许可证或者执照、较大数额罚款等</w:t>
      </w:r>
      <w:r>
        <w:rPr>
          <w:spacing w:val="-1"/>
          <w:sz w:val="21"/>
          <w:szCs w:val="21"/>
          <w:highlight w:val="none"/>
        </w:rPr>
        <w:t>行政处罚）。</w:t>
      </w:r>
    </w:p>
    <w:p w14:paraId="144BD8DD">
      <w:pPr>
        <w:pStyle w:val="8"/>
        <w:spacing w:before="156" w:line="288" w:lineRule="auto"/>
        <w:ind w:left="2018" w:right="1984" w:firstLine="212"/>
        <w:rPr>
          <w:sz w:val="21"/>
          <w:szCs w:val="21"/>
          <w:highlight w:val="none"/>
        </w:rPr>
      </w:pPr>
      <w:r>
        <w:rPr>
          <w:sz w:val="21"/>
          <w:szCs w:val="21"/>
          <w:highlight w:val="none"/>
        </w:rPr>
        <w:t>2、没有行贿犯罪记录（查询内容：①投标人</w:t>
      </w:r>
      <w:r>
        <w:rPr>
          <w:sz w:val="21"/>
          <w:szCs w:val="21"/>
          <w:highlight w:val="none"/>
          <w:u w:val="single" w:color="auto"/>
        </w:rPr>
        <w:t xml:space="preserve">    </w:t>
      </w:r>
      <w:r>
        <w:rPr>
          <w:spacing w:val="-82"/>
          <w:sz w:val="21"/>
          <w:szCs w:val="21"/>
          <w:highlight w:val="none"/>
        </w:rPr>
        <w:t xml:space="preserve"> </w:t>
      </w:r>
      <w:r>
        <w:rPr>
          <w:sz w:val="21"/>
          <w:szCs w:val="21"/>
          <w:highlight w:val="none"/>
        </w:rPr>
        <w:t>、组织机构代码证或</w:t>
      </w:r>
      <w:r>
        <w:rPr>
          <w:spacing w:val="-1"/>
          <w:sz w:val="21"/>
          <w:szCs w:val="21"/>
          <w:highlight w:val="none"/>
        </w:rPr>
        <w:t>统一社会信用</w:t>
      </w:r>
      <w:r>
        <w:rPr>
          <w:sz w:val="21"/>
          <w:szCs w:val="21"/>
          <w:highlight w:val="none"/>
        </w:rPr>
        <w:t xml:space="preserve"> </w:t>
      </w:r>
      <w:r>
        <w:rPr>
          <w:spacing w:val="-1"/>
          <w:sz w:val="21"/>
          <w:szCs w:val="21"/>
          <w:highlight w:val="none"/>
        </w:rPr>
        <w:t>代码__</w:t>
      </w:r>
      <w:r>
        <w:rPr>
          <w:spacing w:val="107"/>
          <w:sz w:val="21"/>
          <w:szCs w:val="21"/>
          <w:highlight w:val="none"/>
        </w:rPr>
        <w:t xml:space="preserve"> </w:t>
      </w:r>
      <w:r>
        <w:rPr>
          <w:spacing w:val="-1"/>
          <w:sz w:val="21"/>
          <w:szCs w:val="21"/>
          <w:highlight w:val="none"/>
        </w:rPr>
        <w:t>；②法定代表人</w:t>
      </w:r>
      <w:r>
        <w:rPr>
          <w:spacing w:val="20"/>
          <w:sz w:val="21"/>
          <w:szCs w:val="21"/>
          <w:highlight w:val="none"/>
          <w:u w:val="single" w:color="auto"/>
        </w:rPr>
        <w:t xml:space="preserve">     </w:t>
      </w:r>
      <w:r>
        <w:rPr>
          <w:spacing w:val="-1"/>
          <w:sz w:val="21"/>
          <w:szCs w:val="21"/>
          <w:highlight w:val="none"/>
        </w:rPr>
        <w:t>、身份证号码</w:t>
      </w:r>
      <w:r>
        <w:rPr>
          <w:spacing w:val="-104"/>
          <w:sz w:val="21"/>
          <w:szCs w:val="21"/>
          <w:highlight w:val="none"/>
        </w:rPr>
        <w:t xml:space="preserve"> </w:t>
      </w:r>
      <w:r>
        <w:rPr>
          <w:spacing w:val="20"/>
          <w:sz w:val="21"/>
          <w:szCs w:val="21"/>
          <w:highlight w:val="none"/>
          <w:u w:val="single" w:color="auto"/>
        </w:rPr>
        <w:t xml:space="preserve">     </w:t>
      </w:r>
      <w:r>
        <w:rPr>
          <w:spacing w:val="-1"/>
          <w:sz w:val="21"/>
          <w:szCs w:val="21"/>
          <w:highlight w:val="none"/>
        </w:rPr>
        <w:t>）。</w:t>
      </w:r>
    </w:p>
    <w:p w14:paraId="4E3F2C73">
      <w:pPr>
        <w:pStyle w:val="8"/>
        <w:spacing w:before="164" w:line="360" w:lineRule="auto"/>
        <w:ind w:left="1807" w:right="2112" w:firstLine="424"/>
        <w:rPr>
          <w:sz w:val="21"/>
          <w:szCs w:val="21"/>
          <w:highlight w:val="none"/>
        </w:rPr>
      </w:pPr>
      <w:r>
        <w:rPr>
          <w:sz w:val="21"/>
          <w:szCs w:val="21"/>
          <w:highlight w:val="none"/>
        </w:rPr>
        <w:t>二、我方在参加本项目活动前一段时间内具有良好的商业信誉和健全</w:t>
      </w:r>
      <w:r>
        <w:rPr>
          <w:spacing w:val="-1"/>
          <w:sz w:val="21"/>
          <w:szCs w:val="21"/>
          <w:highlight w:val="none"/>
        </w:rPr>
        <w:t>的财务会计制</w:t>
      </w:r>
      <w:r>
        <w:rPr>
          <w:sz w:val="21"/>
          <w:szCs w:val="21"/>
          <w:highlight w:val="none"/>
        </w:rPr>
        <w:t xml:space="preserve"> 度、具有依法缴纳税收和社会保障资金的良</w:t>
      </w:r>
      <w:r>
        <w:rPr>
          <w:spacing w:val="-1"/>
          <w:sz w:val="21"/>
          <w:szCs w:val="21"/>
          <w:highlight w:val="none"/>
        </w:rPr>
        <w:t>好记录。</w:t>
      </w:r>
    </w:p>
    <w:p w14:paraId="5976DA75">
      <w:pPr>
        <w:spacing w:line="336" w:lineRule="auto"/>
        <w:rPr>
          <w:rFonts w:ascii="Arial"/>
          <w:sz w:val="21"/>
          <w:highlight w:val="none"/>
        </w:rPr>
      </w:pPr>
    </w:p>
    <w:p w14:paraId="6939A24E">
      <w:pPr>
        <w:pStyle w:val="8"/>
        <w:spacing w:before="69" w:line="221" w:lineRule="auto"/>
        <w:ind w:left="2229"/>
        <w:rPr>
          <w:sz w:val="21"/>
          <w:szCs w:val="21"/>
          <w:highlight w:val="none"/>
        </w:rPr>
      </w:pPr>
      <w:r>
        <w:rPr>
          <w:spacing w:val="-1"/>
          <w:sz w:val="21"/>
          <w:szCs w:val="21"/>
          <w:highlight w:val="none"/>
        </w:rPr>
        <w:t>若以上声明不实，我方自愿承担一切法律后果。</w:t>
      </w:r>
    </w:p>
    <w:p w14:paraId="2657B496">
      <w:pPr>
        <w:spacing w:line="299" w:lineRule="auto"/>
        <w:rPr>
          <w:rFonts w:ascii="Arial"/>
          <w:sz w:val="21"/>
          <w:highlight w:val="none"/>
        </w:rPr>
      </w:pPr>
    </w:p>
    <w:p w14:paraId="4BFC3E64">
      <w:pPr>
        <w:spacing w:line="299" w:lineRule="auto"/>
        <w:rPr>
          <w:rFonts w:ascii="Arial"/>
          <w:sz w:val="21"/>
          <w:highlight w:val="none"/>
        </w:rPr>
      </w:pPr>
    </w:p>
    <w:p w14:paraId="3B26B038">
      <w:pPr>
        <w:spacing w:line="300" w:lineRule="auto"/>
        <w:rPr>
          <w:rFonts w:ascii="Arial"/>
          <w:sz w:val="21"/>
          <w:highlight w:val="none"/>
        </w:rPr>
      </w:pPr>
    </w:p>
    <w:p w14:paraId="6A0815D4">
      <w:pPr>
        <w:pStyle w:val="8"/>
        <w:spacing w:before="69" w:line="222" w:lineRule="auto"/>
        <w:jc w:val="center"/>
        <w:rPr>
          <w:sz w:val="21"/>
          <w:szCs w:val="21"/>
          <w:highlight w:val="none"/>
        </w:rPr>
      </w:pPr>
      <w:r>
        <w:rPr>
          <w:spacing w:val="-6"/>
          <w:sz w:val="21"/>
          <w:szCs w:val="21"/>
          <w:highlight w:val="none"/>
        </w:rPr>
        <w:t xml:space="preserve">投标人名称： </w:t>
      </w:r>
      <w:r>
        <w:rPr>
          <w:spacing w:val="-6"/>
          <w:sz w:val="21"/>
          <w:szCs w:val="21"/>
          <w:highlight w:val="none"/>
          <w:u w:val="single" w:color="auto"/>
        </w:rPr>
        <w:t xml:space="preserve">                         </w:t>
      </w:r>
      <w:r>
        <w:rPr>
          <w:spacing w:val="-7"/>
          <w:sz w:val="21"/>
          <w:szCs w:val="21"/>
          <w:highlight w:val="none"/>
          <w:u w:val="single" w:color="auto"/>
        </w:rPr>
        <w:t xml:space="preserve">           </w:t>
      </w:r>
      <w:r>
        <w:rPr>
          <w:spacing w:val="-61"/>
          <w:sz w:val="21"/>
          <w:szCs w:val="21"/>
          <w:highlight w:val="none"/>
        </w:rPr>
        <w:t xml:space="preserve"> </w:t>
      </w:r>
      <w:r>
        <w:rPr>
          <w:spacing w:val="-7"/>
          <w:sz w:val="21"/>
          <w:szCs w:val="21"/>
          <w:highlight w:val="none"/>
        </w:rPr>
        <w:t>(盖单位</w:t>
      </w:r>
      <w:r>
        <w:rPr>
          <w:spacing w:val="-8"/>
          <w:sz w:val="21"/>
          <w:szCs w:val="21"/>
          <w:highlight w:val="none"/>
        </w:rPr>
        <w:t>章)</w:t>
      </w:r>
    </w:p>
    <w:p w14:paraId="5C08CF67">
      <w:pPr>
        <w:pStyle w:val="8"/>
        <w:spacing w:before="160" w:line="221" w:lineRule="auto"/>
        <w:jc w:val="center"/>
        <w:rPr>
          <w:sz w:val="21"/>
          <w:szCs w:val="21"/>
          <w:highlight w:val="none"/>
        </w:rPr>
      </w:pPr>
      <w:r>
        <w:rPr>
          <w:spacing w:val="-3"/>
          <w:sz w:val="21"/>
          <w:szCs w:val="21"/>
          <w:highlight w:val="none"/>
        </w:rPr>
        <w:t>法定代表人（单位负责人）或其委托代理人：</w:t>
      </w:r>
      <w:r>
        <w:rPr>
          <w:spacing w:val="-4"/>
          <w:sz w:val="21"/>
          <w:szCs w:val="21"/>
          <w:highlight w:val="none"/>
          <w:u w:val="single" w:color="auto"/>
        </w:rPr>
        <w:t xml:space="preserve">       </w:t>
      </w:r>
      <w:r>
        <w:rPr>
          <w:spacing w:val="-59"/>
          <w:sz w:val="21"/>
          <w:szCs w:val="21"/>
          <w:highlight w:val="none"/>
        </w:rPr>
        <w:t xml:space="preserve"> </w:t>
      </w:r>
      <w:r>
        <w:rPr>
          <w:spacing w:val="-4"/>
          <w:sz w:val="21"/>
          <w:szCs w:val="21"/>
          <w:highlight w:val="none"/>
        </w:rPr>
        <w:t>(签字或盖</w:t>
      </w:r>
      <w:r>
        <w:rPr>
          <w:spacing w:val="-8"/>
          <w:sz w:val="21"/>
          <w:szCs w:val="21"/>
          <w:highlight w:val="none"/>
        </w:rPr>
        <w:t>章)</w:t>
      </w:r>
    </w:p>
    <w:p w14:paraId="37AE28B4">
      <w:pPr>
        <w:pStyle w:val="8"/>
        <w:spacing w:before="157" w:line="221" w:lineRule="auto"/>
        <w:ind w:left="4278"/>
        <w:rPr>
          <w:sz w:val="21"/>
          <w:szCs w:val="21"/>
          <w:highlight w:val="none"/>
        </w:rPr>
      </w:pPr>
      <w:r>
        <w:rPr>
          <w:spacing w:val="-10"/>
          <w:sz w:val="21"/>
          <w:szCs w:val="21"/>
          <w:highlight w:val="none"/>
        </w:rPr>
        <w:t>日期：</w:t>
      </w:r>
      <w:r>
        <w:rPr>
          <w:spacing w:val="11"/>
          <w:sz w:val="21"/>
          <w:szCs w:val="21"/>
          <w:highlight w:val="none"/>
          <w:u w:val="single" w:color="auto"/>
        </w:rPr>
        <w:t xml:space="preserve">       </w:t>
      </w:r>
      <w:r>
        <w:rPr>
          <w:spacing w:val="-93"/>
          <w:sz w:val="21"/>
          <w:szCs w:val="21"/>
          <w:highlight w:val="none"/>
        </w:rPr>
        <w:t xml:space="preserve"> </w:t>
      </w:r>
      <w:r>
        <w:rPr>
          <w:spacing w:val="-10"/>
          <w:sz w:val="21"/>
          <w:szCs w:val="21"/>
          <w:highlight w:val="none"/>
        </w:rPr>
        <w:t>年</w:t>
      </w:r>
      <w:r>
        <w:rPr>
          <w:spacing w:val="-10"/>
          <w:sz w:val="21"/>
          <w:szCs w:val="21"/>
          <w:highlight w:val="none"/>
          <w:u w:val="single" w:color="auto"/>
        </w:rPr>
        <w:t xml:space="preserve">    </w:t>
      </w:r>
      <w:r>
        <w:rPr>
          <w:spacing w:val="-92"/>
          <w:sz w:val="21"/>
          <w:szCs w:val="21"/>
          <w:highlight w:val="none"/>
        </w:rPr>
        <w:t xml:space="preserve"> </w:t>
      </w:r>
      <w:r>
        <w:rPr>
          <w:spacing w:val="-10"/>
          <w:sz w:val="21"/>
          <w:szCs w:val="21"/>
          <w:highlight w:val="none"/>
        </w:rPr>
        <w:t>月</w:t>
      </w:r>
      <w:r>
        <w:rPr>
          <w:spacing w:val="-10"/>
          <w:sz w:val="21"/>
          <w:szCs w:val="21"/>
          <w:highlight w:val="none"/>
          <w:u w:val="single" w:color="auto"/>
        </w:rPr>
        <w:t xml:space="preserve">    </w:t>
      </w:r>
      <w:r>
        <w:rPr>
          <w:spacing w:val="-61"/>
          <w:sz w:val="21"/>
          <w:szCs w:val="21"/>
          <w:highlight w:val="none"/>
        </w:rPr>
        <w:t xml:space="preserve"> </w:t>
      </w:r>
      <w:r>
        <w:rPr>
          <w:spacing w:val="-10"/>
          <w:sz w:val="21"/>
          <w:szCs w:val="21"/>
          <w:highlight w:val="none"/>
        </w:rPr>
        <w:t>日</w:t>
      </w:r>
    </w:p>
    <w:p w14:paraId="03022238">
      <w:pPr>
        <w:spacing w:line="221" w:lineRule="auto"/>
        <w:rPr>
          <w:sz w:val="21"/>
          <w:szCs w:val="21"/>
          <w:highlight w:val="none"/>
        </w:rPr>
        <w:sectPr>
          <w:footerReference r:id="rId9" w:type="default"/>
          <w:pgSz w:w="11900" w:h="16841"/>
          <w:pgMar w:top="720" w:right="720" w:bottom="720" w:left="720" w:header="0" w:footer="1057" w:gutter="0"/>
          <w:pgNumType w:fmt="decimal"/>
          <w:cols w:space="720" w:num="1"/>
        </w:sectPr>
      </w:pPr>
    </w:p>
    <w:p w14:paraId="2AE93AA8">
      <w:pPr>
        <w:spacing w:before="91" w:line="223" w:lineRule="auto"/>
        <w:ind w:left="5151"/>
        <w:rPr>
          <w:rFonts w:ascii="黑体" w:hAnsi="黑体" w:eastAsia="黑体" w:cs="黑体"/>
          <w:spacing w:val="-9"/>
          <w:sz w:val="28"/>
          <w:szCs w:val="28"/>
          <w:highlight w:val="none"/>
        </w:rPr>
      </w:pPr>
    </w:p>
    <w:p w14:paraId="4AB359E7">
      <w:pPr>
        <w:spacing w:before="91" w:line="223" w:lineRule="auto"/>
        <w:ind w:left="5151"/>
        <w:rPr>
          <w:rFonts w:ascii="黑体" w:hAnsi="黑体" w:eastAsia="黑体" w:cs="黑体"/>
          <w:sz w:val="28"/>
          <w:szCs w:val="28"/>
          <w:highlight w:val="none"/>
        </w:rPr>
      </w:pPr>
      <w:r>
        <w:rPr>
          <w:rFonts w:hint="eastAsia" w:ascii="黑体" w:hAnsi="黑体" w:eastAsia="黑体" w:cs="黑体"/>
          <w:spacing w:val="-9"/>
          <w:sz w:val="28"/>
          <w:szCs w:val="28"/>
          <w:highlight w:val="none"/>
          <w:lang w:val="en-US" w:eastAsia="zh-CN"/>
        </w:rPr>
        <w:t>4</w:t>
      </w:r>
      <w:r>
        <w:rPr>
          <w:rFonts w:ascii="黑体" w:hAnsi="黑体" w:eastAsia="黑体" w:cs="黑体"/>
          <w:spacing w:val="-9"/>
          <w:sz w:val="28"/>
          <w:szCs w:val="28"/>
          <w:highlight w:val="none"/>
        </w:rPr>
        <w:t>.投标承诺书</w:t>
      </w:r>
    </w:p>
    <w:p w14:paraId="2E1D50EE">
      <w:pPr>
        <w:pStyle w:val="8"/>
        <w:spacing w:before="203" w:line="221" w:lineRule="auto"/>
        <w:ind w:left="1809"/>
        <w:rPr>
          <w:sz w:val="24"/>
          <w:szCs w:val="24"/>
          <w:highlight w:val="none"/>
        </w:rPr>
      </w:pPr>
      <w:r>
        <w:rPr>
          <w:spacing w:val="-10"/>
          <w:sz w:val="24"/>
          <w:szCs w:val="24"/>
          <w:highlight w:val="none"/>
        </w:rPr>
        <w:t>致</w:t>
      </w:r>
      <w:r>
        <w:rPr>
          <w:spacing w:val="8"/>
          <w:sz w:val="24"/>
          <w:szCs w:val="24"/>
          <w:highlight w:val="none"/>
          <w:u w:val="single" w:color="auto"/>
        </w:rPr>
        <w:t xml:space="preserve">      </w:t>
      </w:r>
      <w:r>
        <w:rPr>
          <w:spacing w:val="-10"/>
          <w:sz w:val="24"/>
          <w:szCs w:val="24"/>
          <w:highlight w:val="none"/>
          <w:u w:val="single" w:color="auto"/>
        </w:rPr>
        <w:t>(</w:t>
      </w:r>
      <w:r>
        <w:rPr>
          <w:rFonts w:hint="eastAsia"/>
          <w:spacing w:val="-10"/>
          <w:sz w:val="24"/>
          <w:szCs w:val="24"/>
          <w:highlight w:val="none"/>
          <w:u w:val="single" w:color="auto"/>
          <w:lang w:val="en-US" w:eastAsia="zh-CN"/>
        </w:rPr>
        <w:t>采购</w:t>
      </w:r>
      <w:r>
        <w:rPr>
          <w:spacing w:val="-10"/>
          <w:sz w:val="24"/>
          <w:szCs w:val="24"/>
          <w:highlight w:val="none"/>
          <w:u w:val="single" w:color="auto"/>
        </w:rPr>
        <w:t>人)</w:t>
      </w:r>
      <w:r>
        <w:rPr>
          <w:spacing w:val="22"/>
          <w:sz w:val="24"/>
          <w:szCs w:val="24"/>
          <w:highlight w:val="none"/>
          <w:u w:val="single" w:color="auto"/>
        </w:rPr>
        <w:t xml:space="preserve">     </w:t>
      </w:r>
      <w:r>
        <w:rPr>
          <w:spacing w:val="-10"/>
          <w:sz w:val="24"/>
          <w:szCs w:val="24"/>
          <w:highlight w:val="none"/>
        </w:rPr>
        <w:t>：</w:t>
      </w:r>
    </w:p>
    <w:p w14:paraId="32C6D78E">
      <w:pPr>
        <w:pStyle w:val="8"/>
        <w:spacing w:before="173" w:line="360" w:lineRule="auto"/>
        <w:ind w:left="1814" w:right="1905" w:firstLine="415"/>
        <w:rPr>
          <w:sz w:val="21"/>
          <w:szCs w:val="21"/>
          <w:highlight w:val="none"/>
        </w:rPr>
      </w:pPr>
      <w:r>
        <w:rPr>
          <w:sz w:val="21"/>
          <w:szCs w:val="21"/>
          <w:highlight w:val="none"/>
        </w:rPr>
        <w:t>我公司参加</w:t>
      </w:r>
      <w:r>
        <w:rPr>
          <w:sz w:val="21"/>
          <w:szCs w:val="21"/>
          <w:highlight w:val="none"/>
          <w:u w:val="single" w:color="auto"/>
        </w:rPr>
        <w:t xml:space="preserve">            (项</w:t>
      </w:r>
      <w:r>
        <w:rPr>
          <w:spacing w:val="-1"/>
          <w:sz w:val="21"/>
          <w:szCs w:val="21"/>
          <w:highlight w:val="none"/>
          <w:u w:val="single" w:color="auto"/>
        </w:rPr>
        <w:t xml:space="preserve">目名称)     </w:t>
      </w:r>
      <w:r>
        <w:rPr>
          <w:spacing w:val="-94"/>
          <w:sz w:val="21"/>
          <w:szCs w:val="21"/>
          <w:highlight w:val="none"/>
        </w:rPr>
        <w:t xml:space="preserve"> </w:t>
      </w:r>
      <w:r>
        <w:rPr>
          <w:spacing w:val="-1"/>
          <w:sz w:val="21"/>
          <w:szCs w:val="21"/>
          <w:highlight w:val="none"/>
        </w:rPr>
        <w:t>投标，</w:t>
      </w:r>
      <w:r>
        <w:rPr>
          <w:spacing w:val="8"/>
          <w:sz w:val="21"/>
          <w:szCs w:val="21"/>
          <w:highlight w:val="none"/>
        </w:rPr>
        <w:t xml:space="preserve"> </w:t>
      </w:r>
      <w:r>
        <w:rPr>
          <w:spacing w:val="-1"/>
          <w:sz w:val="21"/>
          <w:szCs w:val="21"/>
          <w:highlight w:val="none"/>
        </w:rPr>
        <w:t>现就有关事项向招标人郑重承诺如</w:t>
      </w:r>
      <w:r>
        <w:rPr>
          <w:sz w:val="21"/>
          <w:szCs w:val="21"/>
          <w:highlight w:val="none"/>
        </w:rPr>
        <w:t xml:space="preserve"> </w:t>
      </w:r>
      <w:r>
        <w:rPr>
          <w:spacing w:val="-16"/>
          <w:sz w:val="21"/>
          <w:szCs w:val="21"/>
          <w:highlight w:val="none"/>
        </w:rPr>
        <w:t>下：</w:t>
      </w:r>
    </w:p>
    <w:p w14:paraId="023C5AF3">
      <w:pPr>
        <w:pStyle w:val="8"/>
        <w:spacing w:before="1" w:line="359" w:lineRule="auto"/>
        <w:ind w:left="1807" w:right="1810" w:firstLine="436"/>
        <w:jc w:val="both"/>
        <w:rPr>
          <w:sz w:val="21"/>
          <w:szCs w:val="21"/>
          <w:highlight w:val="none"/>
        </w:rPr>
      </w:pPr>
      <w:r>
        <w:rPr>
          <w:spacing w:val="-1"/>
          <w:sz w:val="21"/>
          <w:szCs w:val="21"/>
          <w:highlight w:val="none"/>
        </w:rPr>
        <w:t>1、我公司承诺本次投标提供的市场行为证明、企业业绩等材料均真实无任何虚假。若</w:t>
      </w:r>
      <w:r>
        <w:rPr>
          <w:spacing w:val="6"/>
          <w:sz w:val="21"/>
          <w:szCs w:val="21"/>
          <w:highlight w:val="none"/>
        </w:rPr>
        <w:t xml:space="preserve"> </w:t>
      </w:r>
      <w:r>
        <w:rPr>
          <w:sz w:val="21"/>
          <w:szCs w:val="21"/>
          <w:highlight w:val="none"/>
        </w:rPr>
        <w:t>在招投标过程及预中标公示过程中被查存在虚假，同意被取消投标资格及中标资格</w:t>
      </w:r>
      <w:r>
        <w:rPr>
          <w:spacing w:val="-1"/>
          <w:sz w:val="21"/>
          <w:szCs w:val="21"/>
          <w:highlight w:val="none"/>
        </w:rPr>
        <w:t>，并接受按照有关规定作出的处罚。</w:t>
      </w:r>
    </w:p>
    <w:p w14:paraId="7590118B">
      <w:pPr>
        <w:pStyle w:val="8"/>
        <w:spacing w:before="2" w:line="358" w:lineRule="auto"/>
        <w:ind w:left="1810" w:right="1797" w:firstLine="420"/>
        <w:rPr>
          <w:sz w:val="21"/>
          <w:szCs w:val="21"/>
          <w:highlight w:val="none"/>
        </w:rPr>
      </w:pPr>
      <w:r>
        <w:rPr>
          <w:sz w:val="21"/>
          <w:szCs w:val="21"/>
          <w:highlight w:val="none"/>
        </w:rPr>
        <w:t>如其他投标人对以上材料的真实性提出投诉，我单位承诺在贵单位要求</w:t>
      </w:r>
      <w:r>
        <w:rPr>
          <w:spacing w:val="-1"/>
          <w:sz w:val="21"/>
          <w:szCs w:val="21"/>
          <w:highlight w:val="none"/>
        </w:rPr>
        <w:t>的时间内(一般</w:t>
      </w:r>
      <w:r>
        <w:rPr>
          <w:sz w:val="21"/>
          <w:szCs w:val="21"/>
          <w:highlight w:val="none"/>
        </w:rPr>
        <w:t xml:space="preserve"> 为 5 个工作日)，向贵单位提供有关主管部门出具的证明材料和核实渠道。</w:t>
      </w:r>
      <w:r>
        <w:rPr>
          <w:spacing w:val="-1"/>
          <w:sz w:val="21"/>
          <w:szCs w:val="21"/>
          <w:highlight w:val="none"/>
        </w:rPr>
        <w:t>逾期未提供</w:t>
      </w:r>
    </w:p>
    <w:p w14:paraId="51E7101F">
      <w:pPr>
        <w:pStyle w:val="8"/>
        <w:spacing w:line="220" w:lineRule="auto"/>
        <w:ind w:left="1825"/>
        <w:rPr>
          <w:sz w:val="21"/>
          <w:szCs w:val="21"/>
          <w:highlight w:val="none"/>
        </w:rPr>
      </w:pPr>
      <w:r>
        <w:rPr>
          <w:spacing w:val="-1"/>
          <w:sz w:val="21"/>
          <w:szCs w:val="21"/>
          <w:highlight w:val="none"/>
        </w:rPr>
        <w:t>的、或提供的证明材料不满足要求的，视为我单位自动放弃投标资格或</w:t>
      </w:r>
      <w:r>
        <w:rPr>
          <w:spacing w:val="-2"/>
          <w:sz w:val="21"/>
          <w:szCs w:val="21"/>
          <w:highlight w:val="none"/>
        </w:rPr>
        <w:t>中标资格。</w:t>
      </w:r>
    </w:p>
    <w:p w14:paraId="09BCEF71">
      <w:pPr>
        <w:pStyle w:val="8"/>
        <w:spacing w:before="157" w:line="314" w:lineRule="auto"/>
        <w:ind w:left="1806" w:right="1807" w:firstLine="423"/>
        <w:rPr>
          <w:sz w:val="21"/>
          <w:szCs w:val="21"/>
          <w:highlight w:val="none"/>
        </w:rPr>
      </w:pPr>
      <w:r>
        <w:rPr>
          <w:sz w:val="21"/>
          <w:szCs w:val="21"/>
          <w:highlight w:val="none"/>
        </w:rPr>
        <w:t>2、我公司承诺不与其他投标人串通投标，不使用非</w:t>
      </w:r>
      <w:r>
        <w:rPr>
          <w:spacing w:val="-1"/>
          <w:sz w:val="21"/>
          <w:szCs w:val="21"/>
          <w:highlight w:val="none"/>
        </w:rPr>
        <w:t>法手段获取中标。若在招投标过程</w:t>
      </w:r>
      <w:r>
        <w:rPr>
          <w:sz w:val="21"/>
          <w:szCs w:val="21"/>
          <w:highlight w:val="none"/>
        </w:rPr>
        <w:t xml:space="preserve"> 及预中标公示过程中发现有上述行为，同意被取消投标资格及中标资格，并接受按</w:t>
      </w:r>
      <w:r>
        <w:rPr>
          <w:spacing w:val="-1"/>
          <w:sz w:val="21"/>
          <w:szCs w:val="21"/>
          <w:highlight w:val="none"/>
        </w:rPr>
        <w:t>照有关</w:t>
      </w:r>
      <w:r>
        <w:rPr>
          <w:sz w:val="21"/>
          <w:szCs w:val="21"/>
          <w:highlight w:val="none"/>
        </w:rPr>
        <w:t xml:space="preserve">  </w:t>
      </w:r>
      <w:r>
        <w:rPr>
          <w:spacing w:val="-1"/>
          <w:sz w:val="21"/>
          <w:szCs w:val="21"/>
          <w:highlight w:val="none"/>
        </w:rPr>
        <w:t>规定作出的处罚。</w:t>
      </w:r>
    </w:p>
    <w:p w14:paraId="7754EE6D">
      <w:pPr>
        <w:pStyle w:val="8"/>
        <w:spacing w:before="155" w:line="290" w:lineRule="auto"/>
        <w:ind w:left="1808" w:right="1846" w:firstLine="423"/>
        <w:rPr>
          <w:sz w:val="21"/>
          <w:szCs w:val="21"/>
          <w:highlight w:val="none"/>
        </w:rPr>
      </w:pPr>
      <w:r>
        <w:rPr>
          <w:spacing w:val="-1"/>
          <w:sz w:val="21"/>
          <w:szCs w:val="21"/>
          <w:highlight w:val="none"/>
        </w:rPr>
        <w:t>3、我公司承诺不存在因违反建筑市场管理、</w:t>
      </w:r>
      <w:r>
        <w:rPr>
          <w:spacing w:val="-2"/>
          <w:sz w:val="21"/>
          <w:szCs w:val="21"/>
          <w:highlight w:val="none"/>
        </w:rPr>
        <w:t>建设工程质量安全等法律、法规、规章，</w:t>
      </w:r>
      <w:r>
        <w:rPr>
          <w:sz w:val="21"/>
          <w:szCs w:val="21"/>
          <w:highlight w:val="none"/>
        </w:rPr>
        <w:t xml:space="preserve"> </w:t>
      </w:r>
      <w:r>
        <w:rPr>
          <w:spacing w:val="-2"/>
          <w:sz w:val="21"/>
          <w:szCs w:val="21"/>
          <w:highlight w:val="none"/>
        </w:rPr>
        <w:t>而被限制投标且在有效期内的市场行为。</w:t>
      </w:r>
    </w:p>
    <w:p w14:paraId="3257887F">
      <w:pPr>
        <w:pStyle w:val="8"/>
        <w:spacing w:before="157" w:line="221" w:lineRule="auto"/>
        <w:ind w:left="2226"/>
        <w:rPr>
          <w:sz w:val="21"/>
          <w:szCs w:val="21"/>
          <w:highlight w:val="none"/>
        </w:rPr>
      </w:pPr>
      <w:r>
        <w:rPr>
          <w:spacing w:val="-2"/>
          <w:sz w:val="21"/>
          <w:szCs w:val="21"/>
          <w:highlight w:val="none"/>
        </w:rPr>
        <w:t>4、我公司承诺信用状况良好，在参与投标时无以下情形：</w:t>
      </w:r>
    </w:p>
    <w:p w14:paraId="63E13ACD">
      <w:pPr>
        <w:pStyle w:val="8"/>
        <w:spacing w:before="156" w:line="291" w:lineRule="auto"/>
        <w:ind w:left="1808" w:right="1800" w:firstLine="456"/>
        <w:rPr>
          <w:sz w:val="21"/>
          <w:szCs w:val="21"/>
          <w:highlight w:val="none"/>
        </w:rPr>
      </w:pPr>
      <w:r>
        <w:rPr>
          <w:spacing w:val="-1"/>
          <w:sz w:val="21"/>
          <w:szCs w:val="21"/>
          <w:highlight w:val="none"/>
        </w:rPr>
        <w:t>( 1 )被人民检察院列入行贿犯罪档案，自判决生效之日起，至投标文件递交截</w:t>
      </w:r>
      <w:r>
        <w:rPr>
          <w:spacing w:val="-2"/>
          <w:sz w:val="21"/>
          <w:szCs w:val="21"/>
          <w:highlight w:val="none"/>
        </w:rPr>
        <w:t>止之日</w:t>
      </w:r>
      <w:r>
        <w:rPr>
          <w:sz w:val="21"/>
          <w:szCs w:val="21"/>
          <w:highlight w:val="none"/>
        </w:rPr>
        <w:t xml:space="preserve"> </w:t>
      </w:r>
      <w:r>
        <w:rPr>
          <w:spacing w:val="-1"/>
          <w:sz w:val="21"/>
          <w:szCs w:val="21"/>
          <w:highlight w:val="none"/>
        </w:rPr>
        <w:t>止，不满二年的；</w:t>
      </w:r>
    </w:p>
    <w:p w14:paraId="2A812DFD">
      <w:pPr>
        <w:pStyle w:val="8"/>
        <w:spacing w:before="157" w:line="313" w:lineRule="auto"/>
        <w:ind w:left="1807" w:right="1800" w:firstLine="457"/>
        <w:rPr>
          <w:sz w:val="21"/>
          <w:szCs w:val="21"/>
          <w:highlight w:val="none"/>
        </w:rPr>
      </w:pPr>
      <w:r>
        <w:rPr>
          <w:spacing w:val="-1"/>
          <w:sz w:val="21"/>
          <w:szCs w:val="21"/>
          <w:highlight w:val="none"/>
        </w:rPr>
        <w:t>( 2 )被人民法院列为失信被执行人、被税务部门列为重大税收违法当事人、被</w:t>
      </w:r>
      <w:r>
        <w:rPr>
          <w:spacing w:val="-2"/>
          <w:sz w:val="21"/>
          <w:szCs w:val="21"/>
          <w:highlight w:val="none"/>
        </w:rPr>
        <w:t>有关部</w:t>
      </w:r>
      <w:r>
        <w:rPr>
          <w:sz w:val="21"/>
          <w:szCs w:val="21"/>
          <w:highlight w:val="none"/>
        </w:rPr>
        <w:t xml:space="preserve"> 门列入严重违法失信企业名单或经营异常名录，公布的受惩信息有效时间在投标文</w:t>
      </w:r>
      <w:r>
        <w:rPr>
          <w:spacing w:val="-1"/>
          <w:sz w:val="21"/>
          <w:szCs w:val="21"/>
          <w:highlight w:val="none"/>
        </w:rPr>
        <w:t>件递交</w:t>
      </w:r>
      <w:r>
        <w:rPr>
          <w:sz w:val="21"/>
          <w:szCs w:val="21"/>
          <w:highlight w:val="none"/>
        </w:rPr>
        <w:t xml:space="preserve">  </w:t>
      </w:r>
      <w:r>
        <w:rPr>
          <w:spacing w:val="-3"/>
          <w:sz w:val="21"/>
          <w:szCs w:val="21"/>
          <w:highlight w:val="none"/>
        </w:rPr>
        <w:t>截止之日后的。</w:t>
      </w:r>
    </w:p>
    <w:p w14:paraId="1C4851DE">
      <w:pPr>
        <w:pStyle w:val="8"/>
        <w:spacing w:before="157" w:line="359" w:lineRule="auto"/>
        <w:ind w:left="1825" w:right="1903" w:firstLine="404"/>
        <w:rPr>
          <w:sz w:val="21"/>
          <w:szCs w:val="21"/>
          <w:highlight w:val="none"/>
        </w:rPr>
      </w:pPr>
      <w:r>
        <w:rPr>
          <w:sz w:val="21"/>
          <w:szCs w:val="21"/>
          <w:highlight w:val="none"/>
        </w:rPr>
        <w:t>我公司信用状况接受社会监督，如与事实不符，我公司自愿承担以其他方</w:t>
      </w:r>
      <w:r>
        <w:rPr>
          <w:spacing w:val="-1"/>
          <w:sz w:val="21"/>
          <w:szCs w:val="21"/>
          <w:highlight w:val="none"/>
        </w:rPr>
        <w:t>式弄虚作假</w:t>
      </w:r>
      <w:r>
        <w:rPr>
          <w:sz w:val="21"/>
          <w:szCs w:val="21"/>
          <w:highlight w:val="none"/>
        </w:rPr>
        <w:t xml:space="preserve"> </w:t>
      </w:r>
      <w:r>
        <w:rPr>
          <w:spacing w:val="-4"/>
          <w:sz w:val="21"/>
          <w:szCs w:val="21"/>
          <w:highlight w:val="none"/>
        </w:rPr>
        <w:t>的法律责任。</w:t>
      </w:r>
    </w:p>
    <w:p w14:paraId="7E3107FE">
      <w:pPr>
        <w:pStyle w:val="8"/>
        <w:numPr>
          <w:ilvl w:val="0"/>
          <w:numId w:val="20"/>
        </w:numPr>
        <w:spacing w:before="1" w:line="220" w:lineRule="auto"/>
        <w:ind w:left="2232"/>
        <w:rPr>
          <w:rFonts w:ascii="宋体" w:hAnsi="宋体"/>
          <w:sz w:val="21"/>
          <w:szCs w:val="21"/>
          <w:highlight w:val="none"/>
        </w:rPr>
      </w:pPr>
      <w:r>
        <w:rPr>
          <w:sz w:val="21"/>
          <w:szCs w:val="21"/>
          <w:highlight w:val="none"/>
        </w:rPr>
        <w:t>我公司承诺严格按照相关法律、法规和规章</w:t>
      </w:r>
      <w:r>
        <w:rPr>
          <w:spacing w:val="-1"/>
          <w:sz w:val="21"/>
          <w:szCs w:val="21"/>
          <w:highlight w:val="none"/>
        </w:rPr>
        <w:t>的规定进行异议投诉。</w:t>
      </w:r>
    </w:p>
    <w:p w14:paraId="4AF8A443">
      <w:pPr>
        <w:pStyle w:val="8"/>
        <w:numPr>
          <w:ilvl w:val="0"/>
          <w:numId w:val="20"/>
        </w:numPr>
        <w:spacing w:before="1" w:line="220" w:lineRule="auto"/>
        <w:ind w:left="2232"/>
        <w:rPr>
          <w:rFonts w:ascii="宋体" w:hAnsi="宋体"/>
          <w:sz w:val="21"/>
          <w:szCs w:val="21"/>
          <w:highlight w:val="none"/>
        </w:rPr>
      </w:pPr>
      <w:r>
        <w:rPr>
          <w:rFonts w:hint="eastAsia" w:ascii="宋体" w:hAnsi="宋体"/>
          <w:sz w:val="21"/>
          <w:szCs w:val="21"/>
          <w:highlight w:val="none"/>
        </w:rPr>
        <w:t>如我方中标，我方承诺：</w:t>
      </w:r>
    </w:p>
    <w:p w14:paraId="37A66719">
      <w:pPr>
        <w:spacing w:line="360" w:lineRule="auto"/>
        <w:ind w:firstLine="1890" w:firstLineChars="900"/>
        <w:rPr>
          <w:rFonts w:ascii="宋体" w:hAnsi="宋体"/>
          <w:sz w:val="21"/>
          <w:szCs w:val="21"/>
          <w:highlight w:val="none"/>
        </w:rPr>
      </w:pPr>
      <w:r>
        <w:rPr>
          <w:rFonts w:hint="eastAsia" w:ascii="宋体" w:hAnsi="宋体"/>
          <w:sz w:val="21"/>
          <w:szCs w:val="21"/>
          <w:highlight w:val="none"/>
        </w:rPr>
        <w:t>（</w:t>
      </w:r>
      <w:r>
        <w:rPr>
          <w:rFonts w:ascii="宋体" w:hAnsi="宋体"/>
          <w:sz w:val="21"/>
          <w:szCs w:val="21"/>
          <w:highlight w:val="none"/>
        </w:rPr>
        <w:t>1</w:t>
      </w:r>
      <w:r>
        <w:rPr>
          <w:rFonts w:hint="eastAsia" w:ascii="宋体" w:hAnsi="宋体"/>
          <w:sz w:val="21"/>
          <w:szCs w:val="21"/>
          <w:highlight w:val="none"/>
        </w:rPr>
        <w:t>）在收到中标通知书后，在中标通知书规定的期限内与你方签订合同；</w:t>
      </w:r>
    </w:p>
    <w:p w14:paraId="2D3E876A">
      <w:pPr>
        <w:spacing w:line="360" w:lineRule="auto"/>
        <w:ind w:firstLine="1890" w:firstLineChars="900"/>
        <w:rPr>
          <w:rFonts w:ascii="宋体" w:hAnsi="宋体"/>
          <w:sz w:val="21"/>
          <w:szCs w:val="21"/>
          <w:highlight w:val="none"/>
        </w:rPr>
      </w:pPr>
      <w:r>
        <w:rPr>
          <w:rFonts w:hint="eastAsia" w:ascii="宋体" w:hAnsi="宋体"/>
          <w:sz w:val="21"/>
          <w:szCs w:val="21"/>
          <w:highlight w:val="none"/>
        </w:rPr>
        <w:t>（</w:t>
      </w:r>
      <w:r>
        <w:rPr>
          <w:rFonts w:ascii="宋体" w:hAnsi="宋体"/>
          <w:sz w:val="21"/>
          <w:szCs w:val="21"/>
          <w:highlight w:val="none"/>
        </w:rPr>
        <w:t>2</w:t>
      </w:r>
      <w:r>
        <w:rPr>
          <w:rFonts w:hint="eastAsia" w:ascii="宋体" w:hAnsi="宋体"/>
          <w:sz w:val="21"/>
          <w:szCs w:val="21"/>
          <w:highlight w:val="none"/>
        </w:rPr>
        <w:t>）在签订合同时不向你方提出附加条件；</w:t>
      </w:r>
    </w:p>
    <w:p w14:paraId="475C957A">
      <w:pPr>
        <w:spacing w:line="360" w:lineRule="auto"/>
        <w:ind w:firstLine="1890" w:firstLineChars="900"/>
        <w:rPr>
          <w:rFonts w:ascii="宋体" w:hAnsi="宋体"/>
          <w:sz w:val="21"/>
          <w:szCs w:val="21"/>
          <w:highlight w:val="none"/>
        </w:rPr>
      </w:pPr>
      <w:r>
        <w:rPr>
          <w:rFonts w:hint="eastAsia" w:ascii="宋体" w:hAnsi="宋体"/>
          <w:sz w:val="21"/>
          <w:szCs w:val="21"/>
          <w:highlight w:val="none"/>
        </w:rPr>
        <w:t>（</w:t>
      </w:r>
      <w:r>
        <w:rPr>
          <w:rFonts w:hint="eastAsia" w:ascii="宋体" w:hAnsi="宋体"/>
          <w:sz w:val="21"/>
          <w:szCs w:val="21"/>
          <w:highlight w:val="none"/>
          <w:lang w:val="en-US" w:eastAsia="zh-CN"/>
        </w:rPr>
        <w:t>3</w:t>
      </w:r>
      <w:r>
        <w:rPr>
          <w:rFonts w:hint="eastAsia" w:ascii="宋体" w:hAnsi="宋体"/>
          <w:sz w:val="21"/>
          <w:szCs w:val="21"/>
          <w:highlight w:val="none"/>
        </w:rPr>
        <w:t>）在合同约定的期限内完成合同规定的全部义务。</w:t>
      </w:r>
    </w:p>
    <w:p w14:paraId="1C4D2508">
      <w:pPr>
        <w:spacing w:line="360" w:lineRule="auto"/>
        <w:ind w:firstLine="1890" w:firstLineChars="900"/>
        <w:rPr>
          <w:rFonts w:ascii="宋体" w:hAnsi="宋体"/>
          <w:sz w:val="21"/>
          <w:szCs w:val="21"/>
          <w:highlight w:val="none"/>
        </w:rPr>
      </w:pPr>
      <w:r>
        <w:rPr>
          <w:rFonts w:hint="eastAsia" w:ascii="宋体" w:hAnsi="宋体" w:eastAsia="宋体"/>
          <w:sz w:val="21"/>
          <w:szCs w:val="21"/>
          <w:highlight w:val="none"/>
          <w:lang w:val="en-US" w:eastAsia="zh-CN"/>
        </w:rPr>
        <w:t>7</w:t>
      </w:r>
      <w:r>
        <w:rPr>
          <w:rFonts w:hint="eastAsia" w:ascii="宋体" w:hAnsi="宋体"/>
          <w:sz w:val="21"/>
          <w:szCs w:val="21"/>
          <w:highlight w:val="none"/>
        </w:rPr>
        <w:t>．我方在此声明，所提交的投标文件及有关资料内容完整、真实和准确。</w:t>
      </w:r>
    </w:p>
    <w:p w14:paraId="120D6C88">
      <w:pPr>
        <w:spacing w:line="360" w:lineRule="auto"/>
        <w:ind w:firstLine="1890" w:firstLineChars="900"/>
        <w:rPr>
          <w:rFonts w:ascii="宋体" w:hAnsi="宋体"/>
          <w:sz w:val="21"/>
          <w:szCs w:val="21"/>
          <w:highlight w:val="none"/>
        </w:rPr>
      </w:pPr>
      <w:r>
        <w:rPr>
          <w:rFonts w:hint="eastAsia" w:ascii="宋体" w:hAnsi="宋体" w:eastAsia="宋体"/>
          <w:sz w:val="21"/>
          <w:szCs w:val="21"/>
          <w:highlight w:val="none"/>
          <w:lang w:val="en-US" w:eastAsia="zh-CN"/>
        </w:rPr>
        <w:t>8</w:t>
      </w:r>
      <w:r>
        <w:rPr>
          <w:rFonts w:hint="eastAsia" w:ascii="宋体" w:hAnsi="宋体"/>
          <w:sz w:val="21"/>
          <w:szCs w:val="21"/>
          <w:highlight w:val="none"/>
        </w:rPr>
        <w:t>.</w:t>
      </w:r>
      <w:r>
        <w:rPr>
          <w:rFonts w:hint="eastAsia" w:ascii="宋体" w:hAnsi="宋体"/>
          <w:sz w:val="21"/>
          <w:szCs w:val="21"/>
          <w:highlight w:val="none"/>
          <w:u w:val="single"/>
        </w:rPr>
        <w:t xml:space="preserve">            </w:t>
      </w:r>
      <w:r>
        <w:rPr>
          <w:rFonts w:ascii="宋体" w:hAnsi="宋体"/>
          <w:sz w:val="21"/>
          <w:szCs w:val="21"/>
          <w:highlight w:val="none"/>
          <w:u w:val="single"/>
        </w:rPr>
        <w:t xml:space="preserve">     </w:t>
      </w:r>
      <w:r>
        <w:rPr>
          <w:rFonts w:hint="eastAsia" w:ascii="宋体" w:hAnsi="宋体"/>
          <w:sz w:val="21"/>
          <w:szCs w:val="21"/>
          <w:highlight w:val="none"/>
        </w:rPr>
        <w:t>（其他补充说明）。</w:t>
      </w:r>
    </w:p>
    <w:p w14:paraId="5FA198D9">
      <w:pPr>
        <w:pStyle w:val="8"/>
        <w:numPr>
          <w:ilvl w:val="0"/>
          <w:numId w:val="0"/>
        </w:numPr>
        <w:kinsoku w:val="0"/>
        <w:autoSpaceDE w:val="0"/>
        <w:autoSpaceDN w:val="0"/>
        <w:adjustRightInd w:val="0"/>
        <w:snapToGrid w:val="0"/>
        <w:spacing w:before="1" w:line="220" w:lineRule="auto"/>
        <w:jc w:val="left"/>
        <w:textAlignment w:val="baseline"/>
        <w:rPr>
          <w:spacing w:val="-1"/>
          <w:sz w:val="21"/>
          <w:szCs w:val="21"/>
          <w:highlight w:val="none"/>
        </w:rPr>
      </w:pPr>
    </w:p>
    <w:p w14:paraId="61885AEA">
      <w:pPr>
        <w:pStyle w:val="8"/>
        <w:spacing w:before="157" w:line="221" w:lineRule="auto"/>
        <w:ind w:left="2228"/>
        <w:rPr>
          <w:sz w:val="21"/>
          <w:szCs w:val="21"/>
          <w:highlight w:val="none"/>
        </w:rPr>
      </w:pPr>
      <w:r>
        <w:rPr>
          <w:spacing w:val="-4"/>
          <w:sz w:val="21"/>
          <w:szCs w:val="21"/>
          <w:highlight w:val="none"/>
        </w:rPr>
        <w:t>特此承诺！</w:t>
      </w:r>
    </w:p>
    <w:p w14:paraId="622748BB">
      <w:pPr>
        <w:pStyle w:val="8"/>
        <w:spacing w:before="156" w:line="221" w:lineRule="auto"/>
        <w:ind w:left="5278"/>
        <w:rPr>
          <w:sz w:val="21"/>
          <w:szCs w:val="21"/>
          <w:highlight w:val="none"/>
        </w:rPr>
      </w:pPr>
      <w:r>
        <w:rPr>
          <w:spacing w:val="-7"/>
          <w:sz w:val="21"/>
          <w:szCs w:val="21"/>
          <w:highlight w:val="none"/>
        </w:rPr>
        <w:t xml:space="preserve">投标人名称： </w:t>
      </w:r>
      <w:r>
        <w:rPr>
          <w:spacing w:val="-7"/>
          <w:sz w:val="21"/>
          <w:szCs w:val="21"/>
          <w:highlight w:val="none"/>
          <w:u w:val="single" w:color="auto"/>
        </w:rPr>
        <w:t xml:space="preserve">                         </w:t>
      </w:r>
      <w:r>
        <w:rPr>
          <w:spacing w:val="-47"/>
          <w:sz w:val="21"/>
          <w:szCs w:val="21"/>
          <w:highlight w:val="none"/>
        </w:rPr>
        <w:t xml:space="preserve"> </w:t>
      </w:r>
      <w:r>
        <w:rPr>
          <w:spacing w:val="-7"/>
          <w:sz w:val="21"/>
          <w:szCs w:val="21"/>
          <w:highlight w:val="none"/>
        </w:rPr>
        <w:t>(盖单位章)</w:t>
      </w:r>
    </w:p>
    <w:p w14:paraId="038B6F88">
      <w:pPr>
        <w:pStyle w:val="8"/>
        <w:spacing w:before="159" w:line="221" w:lineRule="auto"/>
        <w:ind w:left="3529"/>
        <w:rPr>
          <w:sz w:val="21"/>
          <w:szCs w:val="21"/>
          <w:highlight w:val="none"/>
        </w:rPr>
      </w:pPr>
      <w:r>
        <w:rPr>
          <w:spacing w:val="-5"/>
          <w:sz w:val="21"/>
          <w:szCs w:val="21"/>
          <w:highlight w:val="none"/>
        </w:rPr>
        <w:t>法定代表人（单位负责人）或其委托代理人：</w:t>
      </w:r>
      <w:r>
        <w:rPr>
          <w:spacing w:val="5"/>
          <w:sz w:val="21"/>
          <w:szCs w:val="21"/>
          <w:highlight w:val="none"/>
          <w:u w:val="single" w:color="auto"/>
        </w:rPr>
        <w:t xml:space="preserve">           </w:t>
      </w:r>
      <w:r>
        <w:rPr>
          <w:spacing w:val="-51"/>
          <w:sz w:val="21"/>
          <w:szCs w:val="21"/>
          <w:highlight w:val="none"/>
        </w:rPr>
        <w:t xml:space="preserve"> </w:t>
      </w:r>
      <w:r>
        <w:rPr>
          <w:spacing w:val="-5"/>
          <w:sz w:val="21"/>
          <w:szCs w:val="21"/>
          <w:highlight w:val="none"/>
        </w:rPr>
        <w:t>(签字或盖章)</w:t>
      </w:r>
    </w:p>
    <w:p w14:paraId="285FAE6B">
      <w:pPr>
        <w:pStyle w:val="8"/>
        <w:spacing w:before="157" w:line="221" w:lineRule="auto"/>
        <w:ind w:left="7304"/>
        <w:rPr>
          <w:sz w:val="21"/>
          <w:szCs w:val="21"/>
          <w:highlight w:val="none"/>
        </w:rPr>
      </w:pPr>
      <w:r>
        <w:rPr>
          <w:spacing w:val="-10"/>
          <w:sz w:val="21"/>
          <w:szCs w:val="21"/>
          <w:highlight w:val="none"/>
        </w:rPr>
        <w:t>日期：</w:t>
      </w:r>
      <w:r>
        <w:rPr>
          <w:spacing w:val="11"/>
          <w:sz w:val="21"/>
          <w:szCs w:val="21"/>
          <w:highlight w:val="none"/>
          <w:u w:val="single" w:color="auto"/>
        </w:rPr>
        <w:t xml:space="preserve">       </w:t>
      </w:r>
      <w:r>
        <w:rPr>
          <w:spacing w:val="-93"/>
          <w:sz w:val="21"/>
          <w:szCs w:val="21"/>
          <w:highlight w:val="none"/>
        </w:rPr>
        <w:t xml:space="preserve"> </w:t>
      </w:r>
      <w:r>
        <w:rPr>
          <w:spacing w:val="-10"/>
          <w:sz w:val="21"/>
          <w:szCs w:val="21"/>
          <w:highlight w:val="none"/>
        </w:rPr>
        <w:t>年</w:t>
      </w:r>
      <w:r>
        <w:rPr>
          <w:spacing w:val="-10"/>
          <w:sz w:val="21"/>
          <w:szCs w:val="21"/>
          <w:highlight w:val="none"/>
          <w:u w:val="single" w:color="auto"/>
        </w:rPr>
        <w:t xml:space="preserve">    </w:t>
      </w:r>
      <w:r>
        <w:rPr>
          <w:spacing w:val="-92"/>
          <w:sz w:val="21"/>
          <w:szCs w:val="21"/>
          <w:highlight w:val="none"/>
        </w:rPr>
        <w:t xml:space="preserve"> </w:t>
      </w:r>
      <w:r>
        <w:rPr>
          <w:spacing w:val="-10"/>
          <w:sz w:val="21"/>
          <w:szCs w:val="21"/>
          <w:highlight w:val="none"/>
        </w:rPr>
        <w:t>月</w:t>
      </w:r>
      <w:r>
        <w:rPr>
          <w:spacing w:val="-10"/>
          <w:sz w:val="21"/>
          <w:szCs w:val="21"/>
          <w:highlight w:val="none"/>
          <w:u w:val="single" w:color="auto"/>
        </w:rPr>
        <w:t xml:space="preserve">    </w:t>
      </w:r>
      <w:r>
        <w:rPr>
          <w:spacing w:val="-61"/>
          <w:sz w:val="21"/>
          <w:szCs w:val="21"/>
          <w:highlight w:val="none"/>
        </w:rPr>
        <w:t xml:space="preserve"> </w:t>
      </w:r>
      <w:r>
        <w:rPr>
          <w:spacing w:val="-10"/>
          <w:sz w:val="21"/>
          <w:szCs w:val="21"/>
          <w:highlight w:val="none"/>
        </w:rPr>
        <w:t>日</w:t>
      </w:r>
    </w:p>
    <w:p w14:paraId="1FEF7D27">
      <w:pPr>
        <w:spacing w:line="221" w:lineRule="auto"/>
        <w:rPr>
          <w:sz w:val="21"/>
          <w:szCs w:val="21"/>
          <w:highlight w:val="none"/>
        </w:rPr>
        <w:sectPr>
          <w:footerReference r:id="rId10" w:type="default"/>
          <w:pgSz w:w="11900" w:h="16841"/>
          <w:pgMar w:top="400" w:right="0" w:bottom="1292" w:left="0" w:header="0" w:footer="1057" w:gutter="0"/>
          <w:pgNumType w:fmt="decimal"/>
          <w:cols w:space="720" w:num="1"/>
        </w:sectPr>
      </w:pPr>
    </w:p>
    <w:p w14:paraId="5C03FC54">
      <w:pPr>
        <w:spacing w:line="245" w:lineRule="auto"/>
        <w:rPr>
          <w:rFonts w:ascii="Arial"/>
          <w:sz w:val="21"/>
          <w:highlight w:val="none"/>
        </w:rPr>
      </w:pPr>
    </w:p>
    <w:p w14:paraId="5E1B8624">
      <w:pPr>
        <w:spacing w:line="245" w:lineRule="auto"/>
        <w:rPr>
          <w:rFonts w:ascii="Arial"/>
          <w:sz w:val="21"/>
          <w:highlight w:val="none"/>
        </w:rPr>
      </w:pPr>
    </w:p>
    <w:p w14:paraId="1CB72DA1">
      <w:pPr>
        <w:spacing w:line="245" w:lineRule="auto"/>
        <w:rPr>
          <w:rFonts w:ascii="Arial"/>
          <w:sz w:val="21"/>
          <w:highlight w:val="none"/>
        </w:rPr>
      </w:pPr>
    </w:p>
    <w:p w14:paraId="73434E5D">
      <w:pPr>
        <w:spacing w:line="245" w:lineRule="auto"/>
        <w:rPr>
          <w:rFonts w:ascii="Arial"/>
          <w:sz w:val="21"/>
          <w:highlight w:val="none"/>
        </w:rPr>
      </w:pPr>
    </w:p>
    <w:p w14:paraId="7DCC2F17">
      <w:pPr>
        <w:spacing w:before="91" w:line="221" w:lineRule="auto"/>
        <w:ind w:firstLine="3144" w:firstLineChars="1200"/>
        <w:jc w:val="both"/>
        <w:outlineLvl w:val="1"/>
        <w:rPr>
          <w:rFonts w:ascii="黑体" w:hAnsi="黑体" w:eastAsia="黑体" w:cs="黑体"/>
          <w:sz w:val="28"/>
          <w:szCs w:val="28"/>
          <w:highlight w:val="none"/>
        </w:rPr>
      </w:pPr>
      <w:bookmarkStart w:id="87" w:name="_Toc4874"/>
      <w:r>
        <w:rPr>
          <w:rFonts w:hint="eastAsia" w:ascii="黑体" w:hAnsi="黑体" w:eastAsia="黑体" w:cs="黑体"/>
          <w:spacing w:val="-9"/>
          <w:sz w:val="28"/>
          <w:szCs w:val="28"/>
          <w:highlight w:val="none"/>
          <w:lang w:val="en-US" w:eastAsia="zh-CN"/>
        </w:rPr>
        <w:t>5</w:t>
      </w:r>
      <w:r>
        <w:rPr>
          <w:rFonts w:ascii="黑体" w:hAnsi="黑体" w:eastAsia="黑体" w:cs="黑体"/>
          <w:spacing w:val="-9"/>
          <w:sz w:val="28"/>
          <w:szCs w:val="28"/>
          <w:highlight w:val="none"/>
        </w:rPr>
        <w:t>.投标人资格声明函</w:t>
      </w:r>
      <w:bookmarkEnd w:id="87"/>
    </w:p>
    <w:p w14:paraId="543704AA">
      <w:pPr>
        <w:spacing w:line="269" w:lineRule="auto"/>
        <w:rPr>
          <w:rFonts w:ascii="Arial"/>
          <w:sz w:val="21"/>
          <w:highlight w:val="none"/>
        </w:rPr>
      </w:pPr>
    </w:p>
    <w:p w14:paraId="3B95B278">
      <w:pPr>
        <w:spacing w:line="269" w:lineRule="auto"/>
        <w:rPr>
          <w:rFonts w:ascii="Arial"/>
          <w:sz w:val="21"/>
          <w:highlight w:val="none"/>
        </w:rPr>
      </w:pPr>
    </w:p>
    <w:p w14:paraId="65E5BEA7">
      <w:pPr>
        <w:pStyle w:val="8"/>
        <w:spacing w:before="68" w:line="222" w:lineRule="auto"/>
        <w:ind w:left="1808"/>
        <w:rPr>
          <w:spacing w:val="-2"/>
          <w:sz w:val="21"/>
          <w:szCs w:val="21"/>
          <w:highlight w:val="none"/>
        </w:rPr>
      </w:pPr>
    </w:p>
    <w:p w14:paraId="6F262635">
      <w:pPr>
        <w:pStyle w:val="8"/>
        <w:spacing w:before="68" w:line="222" w:lineRule="auto"/>
        <w:ind w:left="1808"/>
        <w:rPr>
          <w:spacing w:val="-2"/>
          <w:sz w:val="21"/>
          <w:szCs w:val="21"/>
          <w:highlight w:val="none"/>
        </w:rPr>
      </w:pPr>
    </w:p>
    <w:p w14:paraId="190AA52C">
      <w:pPr>
        <w:pStyle w:val="8"/>
        <w:spacing w:before="68" w:line="222" w:lineRule="auto"/>
        <w:ind w:left="1808"/>
        <w:rPr>
          <w:sz w:val="21"/>
          <w:szCs w:val="21"/>
          <w:highlight w:val="none"/>
        </w:rPr>
      </w:pPr>
      <w:r>
        <w:rPr>
          <w:spacing w:val="-2"/>
          <w:sz w:val="21"/>
          <w:szCs w:val="21"/>
          <w:highlight w:val="none"/>
        </w:rPr>
        <w:t>致</w:t>
      </w:r>
      <w:r>
        <w:rPr>
          <w:spacing w:val="46"/>
          <w:sz w:val="21"/>
          <w:szCs w:val="21"/>
          <w:highlight w:val="none"/>
        </w:rPr>
        <w:t xml:space="preserve"> </w:t>
      </w:r>
      <w:r>
        <w:rPr>
          <w:spacing w:val="-2"/>
          <w:sz w:val="21"/>
          <w:szCs w:val="21"/>
          <w:highlight w:val="none"/>
        </w:rPr>
        <w:t>(招标人）:</w:t>
      </w:r>
    </w:p>
    <w:p w14:paraId="5CFE3989">
      <w:pPr>
        <w:pStyle w:val="8"/>
        <w:spacing w:before="156" w:line="359" w:lineRule="auto"/>
        <w:ind w:left="1809" w:right="1802" w:firstLine="420"/>
        <w:jc w:val="both"/>
        <w:rPr>
          <w:sz w:val="21"/>
          <w:szCs w:val="21"/>
          <w:highlight w:val="none"/>
        </w:rPr>
      </w:pPr>
      <w:r>
        <w:rPr>
          <w:sz w:val="21"/>
          <w:szCs w:val="21"/>
          <w:highlight w:val="none"/>
        </w:rPr>
        <w:t>我公司愿意针对</w:t>
      </w:r>
      <w:r>
        <w:rPr>
          <w:sz w:val="21"/>
          <w:szCs w:val="21"/>
          <w:highlight w:val="none"/>
          <w:u w:val="single" w:color="auto"/>
        </w:rPr>
        <w:t xml:space="preserve">                （招</w:t>
      </w:r>
      <w:r>
        <w:rPr>
          <w:spacing w:val="-1"/>
          <w:sz w:val="21"/>
          <w:szCs w:val="21"/>
          <w:highlight w:val="none"/>
          <w:u w:val="single" w:color="auto"/>
        </w:rPr>
        <w:t xml:space="preserve">标项目名称） </w:t>
      </w:r>
      <w:r>
        <w:rPr>
          <w:spacing w:val="-94"/>
          <w:sz w:val="21"/>
          <w:szCs w:val="21"/>
          <w:highlight w:val="none"/>
        </w:rPr>
        <w:t xml:space="preserve"> </w:t>
      </w:r>
      <w:r>
        <w:rPr>
          <w:spacing w:val="-1"/>
          <w:sz w:val="21"/>
          <w:szCs w:val="21"/>
          <w:highlight w:val="none"/>
        </w:rPr>
        <w:t>项目进行投标。投标文件中所有</w:t>
      </w:r>
      <w:r>
        <w:rPr>
          <w:sz w:val="21"/>
          <w:szCs w:val="21"/>
          <w:highlight w:val="none"/>
        </w:rPr>
        <w:t xml:space="preserve"> 关于投标人资格、业绩等的文件、证明、陈述均是真实的、准确的。若有违背</w:t>
      </w:r>
      <w:r>
        <w:rPr>
          <w:spacing w:val="-1"/>
          <w:sz w:val="21"/>
          <w:szCs w:val="21"/>
          <w:highlight w:val="none"/>
        </w:rPr>
        <w:t>，我公</w:t>
      </w:r>
      <w:r>
        <w:rPr>
          <w:rFonts w:hint="eastAsia"/>
          <w:spacing w:val="-1"/>
          <w:sz w:val="21"/>
          <w:szCs w:val="21"/>
          <w:highlight w:val="none"/>
          <w:lang w:eastAsia="zh-CN"/>
        </w:rPr>
        <w:t>司将</w:t>
      </w:r>
      <w:r>
        <w:rPr>
          <w:spacing w:val="-1"/>
          <w:sz w:val="21"/>
          <w:szCs w:val="21"/>
          <w:highlight w:val="none"/>
        </w:rPr>
        <w:t>承担由此而产生的一切后果。</w:t>
      </w:r>
    </w:p>
    <w:p w14:paraId="6EE39BDB">
      <w:pPr>
        <w:pStyle w:val="8"/>
        <w:spacing w:before="1" w:line="358" w:lineRule="auto"/>
        <w:ind w:left="1809" w:right="1903" w:firstLine="420"/>
        <w:rPr>
          <w:sz w:val="21"/>
          <w:szCs w:val="21"/>
          <w:highlight w:val="none"/>
        </w:rPr>
      </w:pPr>
      <w:r>
        <w:rPr>
          <w:sz w:val="21"/>
          <w:szCs w:val="21"/>
          <w:highlight w:val="none"/>
        </w:rPr>
        <w:t>我公司承诺没有处于被责令停业，财产被接管、冻结及破产状态，最近三</w:t>
      </w:r>
      <w:r>
        <w:rPr>
          <w:spacing w:val="-1"/>
          <w:sz w:val="21"/>
          <w:szCs w:val="21"/>
          <w:highlight w:val="none"/>
        </w:rPr>
        <w:t>年内没有发</w:t>
      </w:r>
      <w:r>
        <w:rPr>
          <w:sz w:val="21"/>
          <w:szCs w:val="21"/>
          <w:highlight w:val="none"/>
        </w:rPr>
        <w:t xml:space="preserve"> </w:t>
      </w:r>
      <w:r>
        <w:rPr>
          <w:spacing w:val="-2"/>
          <w:sz w:val="21"/>
          <w:szCs w:val="21"/>
          <w:highlight w:val="none"/>
        </w:rPr>
        <w:t>生骗取中标、严重违约等不良行为。</w:t>
      </w:r>
    </w:p>
    <w:p w14:paraId="4E211843">
      <w:pPr>
        <w:pStyle w:val="8"/>
        <w:spacing w:line="221" w:lineRule="auto"/>
        <w:ind w:left="2227"/>
        <w:rPr>
          <w:sz w:val="21"/>
          <w:szCs w:val="21"/>
          <w:highlight w:val="none"/>
        </w:rPr>
      </w:pPr>
      <w:r>
        <w:rPr>
          <w:spacing w:val="-4"/>
          <w:sz w:val="21"/>
          <w:szCs w:val="21"/>
          <w:highlight w:val="none"/>
        </w:rPr>
        <w:t>特此声明！</w:t>
      </w:r>
    </w:p>
    <w:p w14:paraId="7000F144">
      <w:pPr>
        <w:spacing w:line="291" w:lineRule="auto"/>
        <w:rPr>
          <w:rFonts w:ascii="Arial"/>
          <w:sz w:val="21"/>
          <w:highlight w:val="none"/>
        </w:rPr>
      </w:pPr>
    </w:p>
    <w:p w14:paraId="4C6D54C1">
      <w:pPr>
        <w:spacing w:line="292" w:lineRule="auto"/>
        <w:rPr>
          <w:rFonts w:ascii="Arial"/>
          <w:sz w:val="21"/>
          <w:highlight w:val="none"/>
        </w:rPr>
      </w:pPr>
    </w:p>
    <w:p w14:paraId="2372CD89">
      <w:pPr>
        <w:spacing w:line="292" w:lineRule="auto"/>
        <w:rPr>
          <w:rFonts w:ascii="Arial"/>
          <w:sz w:val="21"/>
          <w:highlight w:val="none"/>
        </w:rPr>
      </w:pPr>
    </w:p>
    <w:p w14:paraId="166CEB92">
      <w:pPr>
        <w:spacing w:line="292" w:lineRule="auto"/>
        <w:rPr>
          <w:rFonts w:ascii="Arial"/>
          <w:sz w:val="21"/>
          <w:highlight w:val="none"/>
        </w:rPr>
      </w:pPr>
    </w:p>
    <w:p w14:paraId="6C9F0C95">
      <w:pPr>
        <w:pStyle w:val="8"/>
        <w:spacing w:before="69" w:line="221" w:lineRule="auto"/>
        <w:ind w:firstLine="3136" w:firstLineChars="1600"/>
        <w:rPr>
          <w:sz w:val="21"/>
          <w:szCs w:val="21"/>
          <w:highlight w:val="none"/>
        </w:rPr>
      </w:pPr>
      <w:r>
        <w:rPr>
          <w:spacing w:val="-7"/>
          <w:sz w:val="21"/>
          <w:szCs w:val="21"/>
          <w:highlight w:val="none"/>
        </w:rPr>
        <w:t xml:space="preserve">投标人名称： </w:t>
      </w:r>
      <w:r>
        <w:rPr>
          <w:spacing w:val="-7"/>
          <w:sz w:val="21"/>
          <w:szCs w:val="21"/>
          <w:highlight w:val="none"/>
          <w:u w:val="single" w:color="auto"/>
        </w:rPr>
        <w:t xml:space="preserve">                         </w:t>
      </w:r>
      <w:r>
        <w:rPr>
          <w:spacing w:val="-47"/>
          <w:sz w:val="21"/>
          <w:szCs w:val="21"/>
          <w:highlight w:val="none"/>
        </w:rPr>
        <w:t xml:space="preserve"> </w:t>
      </w:r>
      <w:r>
        <w:rPr>
          <w:spacing w:val="-7"/>
          <w:sz w:val="21"/>
          <w:szCs w:val="21"/>
          <w:highlight w:val="none"/>
        </w:rPr>
        <w:t>(盖单位章)</w:t>
      </w:r>
    </w:p>
    <w:p w14:paraId="196531B1">
      <w:pPr>
        <w:spacing w:line="248" w:lineRule="auto"/>
        <w:rPr>
          <w:rFonts w:ascii="Arial"/>
          <w:sz w:val="21"/>
          <w:highlight w:val="none"/>
        </w:rPr>
      </w:pPr>
    </w:p>
    <w:p w14:paraId="49E6CE26">
      <w:pPr>
        <w:spacing w:line="248" w:lineRule="auto"/>
        <w:rPr>
          <w:rFonts w:ascii="Arial"/>
          <w:sz w:val="21"/>
          <w:highlight w:val="none"/>
        </w:rPr>
      </w:pPr>
    </w:p>
    <w:p w14:paraId="59A3D540">
      <w:pPr>
        <w:widowControl w:val="0"/>
        <w:spacing w:line="240" w:lineRule="auto"/>
        <w:ind w:firstLine="480"/>
        <w:jc w:val="center"/>
        <w:outlineLvl w:val="1"/>
        <w:rPr>
          <w:rFonts w:hint="eastAsia" w:ascii="仿宋" w:hAnsi="仿宋" w:eastAsia="仿宋" w:cs="仿宋_GB2312"/>
          <w:b/>
          <w:bCs/>
          <w:sz w:val="28"/>
          <w:highlight w:val="none"/>
          <w:lang w:eastAsia="zh-CN"/>
        </w:rPr>
        <w:sectPr>
          <w:pgSz w:w="11906" w:h="16838"/>
          <w:pgMar w:top="1440" w:right="1080" w:bottom="1440" w:left="1080" w:header="851" w:footer="992" w:gutter="0"/>
          <w:cols w:space="425" w:num="1"/>
          <w:docGrid w:type="lines" w:linePitch="312" w:charSpace="0"/>
        </w:sectPr>
      </w:pPr>
      <w:r>
        <w:rPr>
          <w:spacing w:val="-10"/>
          <w:sz w:val="21"/>
          <w:szCs w:val="21"/>
          <w:highlight w:val="none"/>
        </w:rPr>
        <w:t>日期：</w:t>
      </w:r>
      <w:r>
        <w:rPr>
          <w:spacing w:val="11"/>
          <w:sz w:val="21"/>
          <w:szCs w:val="21"/>
          <w:highlight w:val="none"/>
          <w:u w:val="single" w:color="auto"/>
        </w:rPr>
        <w:t xml:space="preserve">       </w:t>
      </w:r>
      <w:r>
        <w:rPr>
          <w:spacing w:val="-93"/>
          <w:sz w:val="21"/>
          <w:szCs w:val="21"/>
          <w:highlight w:val="none"/>
        </w:rPr>
        <w:t xml:space="preserve"> </w:t>
      </w:r>
      <w:r>
        <w:rPr>
          <w:spacing w:val="-10"/>
          <w:sz w:val="21"/>
          <w:szCs w:val="21"/>
          <w:highlight w:val="none"/>
        </w:rPr>
        <w:t>年</w:t>
      </w:r>
      <w:r>
        <w:rPr>
          <w:spacing w:val="-10"/>
          <w:sz w:val="21"/>
          <w:szCs w:val="21"/>
          <w:highlight w:val="none"/>
          <w:u w:val="single" w:color="auto"/>
        </w:rPr>
        <w:t xml:space="preserve">    </w:t>
      </w:r>
      <w:r>
        <w:rPr>
          <w:spacing w:val="-92"/>
          <w:sz w:val="21"/>
          <w:szCs w:val="21"/>
          <w:highlight w:val="none"/>
        </w:rPr>
        <w:t xml:space="preserve"> </w:t>
      </w:r>
      <w:r>
        <w:rPr>
          <w:spacing w:val="-10"/>
          <w:sz w:val="21"/>
          <w:szCs w:val="21"/>
          <w:highlight w:val="none"/>
        </w:rPr>
        <w:t>月</w:t>
      </w:r>
      <w:r>
        <w:rPr>
          <w:spacing w:val="-10"/>
          <w:sz w:val="21"/>
          <w:szCs w:val="21"/>
          <w:highlight w:val="none"/>
          <w:u w:val="single" w:color="auto"/>
        </w:rPr>
        <w:t xml:space="preserve">    </w:t>
      </w:r>
      <w:r>
        <w:rPr>
          <w:spacing w:val="-61"/>
          <w:sz w:val="21"/>
          <w:szCs w:val="21"/>
          <w:highlight w:val="none"/>
        </w:rPr>
        <w:t xml:space="preserve"> </w:t>
      </w:r>
      <w:r>
        <w:rPr>
          <w:spacing w:val="-10"/>
          <w:sz w:val="21"/>
          <w:szCs w:val="21"/>
          <w:highlight w:val="none"/>
        </w:rPr>
        <w:t>日</w:t>
      </w:r>
    </w:p>
    <w:p w14:paraId="7C4AD76C">
      <w:pPr>
        <w:widowControl w:val="0"/>
        <w:spacing w:line="240" w:lineRule="auto"/>
        <w:ind w:firstLine="480"/>
        <w:jc w:val="center"/>
        <w:outlineLvl w:val="1"/>
        <w:rPr>
          <w:rFonts w:hint="eastAsia" w:ascii="仿宋" w:hAnsi="仿宋" w:eastAsia="仿宋" w:cs="仿宋_GB2312"/>
          <w:b/>
          <w:bCs/>
          <w:sz w:val="28"/>
          <w:highlight w:val="none"/>
          <w:lang w:val="en-US" w:eastAsia="zh-CN"/>
        </w:rPr>
      </w:pPr>
      <w:r>
        <w:rPr>
          <w:rFonts w:hint="eastAsia" w:ascii="仿宋" w:hAnsi="仿宋" w:eastAsia="仿宋" w:cs="仿宋_GB2312"/>
          <w:b/>
          <w:bCs/>
          <w:sz w:val="28"/>
          <w:highlight w:val="none"/>
          <w:lang w:val="en-US" w:eastAsia="zh-CN"/>
        </w:rPr>
        <w:t>6.法人无行贿犯罪记录证明</w:t>
      </w:r>
    </w:p>
    <w:p w14:paraId="0B4D2570">
      <w:pPr>
        <w:widowControl w:val="0"/>
        <w:spacing w:line="240" w:lineRule="auto"/>
        <w:ind w:firstLine="480"/>
        <w:jc w:val="center"/>
        <w:outlineLvl w:val="1"/>
        <w:rPr>
          <w:rFonts w:hint="default" w:ascii="仿宋" w:hAnsi="仿宋" w:eastAsia="仿宋" w:cs="仿宋_GB2312"/>
          <w:b/>
          <w:bCs/>
          <w:sz w:val="28"/>
          <w:highlight w:val="none"/>
          <w:lang w:val="en-US" w:eastAsia="zh-CN"/>
        </w:rPr>
        <w:sectPr>
          <w:pgSz w:w="11906" w:h="16838"/>
          <w:pgMar w:top="1440" w:right="1080" w:bottom="1440" w:left="1080" w:header="851" w:footer="992" w:gutter="0"/>
          <w:cols w:space="425" w:num="1"/>
          <w:docGrid w:type="lines" w:linePitch="312" w:charSpace="0"/>
        </w:sectPr>
      </w:pPr>
      <w:r>
        <w:rPr>
          <w:rFonts w:hint="eastAsia" w:ascii="仿宋" w:hAnsi="仿宋" w:eastAsia="仿宋" w:cs="仿宋_GB2312"/>
          <w:b/>
          <w:bCs/>
          <w:sz w:val="28"/>
          <w:highlight w:val="none"/>
          <w:lang w:val="en-US" w:eastAsia="zh-CN"/>
        </w:rPr>
        <w:t>（当地法院开具）</w:t>
      </w:r>
    </w:p>
    <w:p w14:paraId="1F5C99B0">
      <w:pPr>
        <w:widowControl w:val="0"/>
        <w:numPr>
          <w:ilvl w:val="0"/>
          <w:numId w:val="0"/>
        </w:numPr>
        <w:spacing w:line="240" w:lineRule="auto"/>
        <w:jc w:val="center"/>
        <w:outlineLvl w:val="1"/>
        <w:rPr>
          <w:rFonts w:hint="default" w:ascii="仿宋" w:hAnsi="仿宋" w:eastAsia="仿宋" w:cs="仿宋_GB2312"/>
          <w:b/>
          <w:bCs/>
          <w:sz w:val="28"/>
          <w:highlight w:val="none"/>
          <w:lang w:val="en-US" w:eastAsia="zh-CN"/>
        </w:rPr>
      </w:pPr>
      <w:r>
        <w:rPr>
          <w:rFonts w:hint="eastAsia" w:ascii="仿宋" w:hAnsi="仿宋" w:eastAsia="仿宋" w:cs="仿宋_GB2312"/>
          <w:b/>
          <w:bCs/>
          <w:sz w:val="28"/>
          <w:highlight w:val="none"/>
          <w:lang w:val="en-US" w:eastAsia="zh-CN"/>
        </w:rPr>
        <w:t>7.若不能开具“6.无法人无犯罪记录证明”，请提供以下7-1承诺书、7-2法人无犯罪记录证明、7-3信用中国查询报告</w:t>
      </w:r>
    </w:p>
    <w:p w14:paraId="5E747B9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sz w:val="44"/>
          <w:szCs w:val="44"/>
          <w:highlight w:val="none"/>
        </w:rPr>
      </w:pPr>
      <w:r>
        <w:rPr>
          <w:rFonts w:hint="eastAsia" w:ascii="方正小标宋_GBK" w:hAnsi="方正小标宋_GBK" w:eastAsia="方正小标宋_GBK" w:cs="方正小标宋_GBK"/>
          <w:sz w:val="44"/>
          <w:szCs w:val="44"/>
          <w:highlight w:val="none"/>
          <w:lang w:val="en-US" w:eastAsia="zh-CN"/>
        </w:rPr>
        <w:t>7-1</w:t>
      </w:r>
      <w:r>
        <w:rPr>
          <w:rFonts w:hint="eastAsia" w:ascii="方正小标宋_GBK" w:hAnsi="方正小标宋_GBK" w:eastAsia="方正小标宋_GBK" w:cs="方正小标宋_GBK"/>
          <w:sz w:val="44"/>
          <w:szCs w:val="44"/>
          <w:highlight w:val="none"/>
        </w:rPr>
        <w:t>无行贿犯罪记录承诺书</w:t>
      </w:r>
    </w:p>
    <w:p w14:paraId="66EA62F8">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highlight w:val="none"/>
          <w:lang w:val="en-US" w:eastAsia="zh-CN"/>
        </w:rPr>
      </w:pPr>
    </w:p>
    <w:p w14:paraId="480A919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合作单位名称（盖章）：</w:t>
      </w:r>
    </w:p>
    <w:p w14:paraId="5B9C3BF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统一社会信用代码：</w:t>
      </w:r>
    </w:p>
    <w:p w14:paraId="07934F2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法定代表人姓名：</w:t>
      </w:r>
    </w:p>
    <w:p w14:paraId="25393A6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法定代表人身份证号：</w:t>
      </w:r>
    </w:p>
    <w:p w14:paraId="375C84F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项目名称：</w:t>
      </w:r>
    </w:p>
    <w:p w14:paraId="1537630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合作事项：</w:t>
      </w:r>
    </w:p>
    <w:p w14:paraId="7C617C6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p>
    <w:p w14:paraId="4D65101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本单位及法定代表人，作为</w:t>
      </w:r>
      <w:r>
        <w:rPr>
          <w:rFonts w:hint="eastAsia" w:ascii="仿宋_GB2312" w:hAnsi="仿宋_GB2312" w:eastAsia="仿宋_GB2312" w:cs="仿宋_GB2312"/>
          <w:sz w:val="32"/>
          <w:szCs w:val="32"/>
          <w:highlight w:val="none"/>
          <w:lang w:val="en-US" w:eastAsia="zh-CN"/>
        </w:rPr>
        <w:t>青岛碧海水务有限公司</w:t>
      </w:r>
      <w:r>
        <w:rPr>
          <w:rFonts w:hint="eastAsia" w:ascii="仿宋_GB2312" w:hAnsi="仿宋_GB2312" w:eastAsia="仿宋_GB2312" w:cs="仿宋_GB2312"/>
          <w:sz w:val="32"/>
          <w:szCs w:val="32"/>
          <w:highlight w:val="none"/>
        </w:rPr>
        <w:t>本次合作的意向/实际参与方，就廉洁从业及行贿犯罪记录情况，郑重承诺如下：</w:t>
      </w:r>
    </w:p>
    <w:p w14:paraId="16C6BF3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黑体" w:hAnsi="黑体" w:eastAsia="黑体" w:cs="黑体"/>
          <w:sz w:val="32"/>
          <w:szCs w:val="32"/>
          <w:highlight w:val="none"/>
          <w:lang w:val="en-US" w:eastAsia="zh-CN"/>
        </w:rPr>
        <w:t>一</w:t>
      </w:r>
      <w:r>
        <w:rPr>
          <w:rFonts w:hint="eastAsia" w:ascii="黑体" w:hAnsi="黑体" w:eastAsia="黑体" w:cs="黑体"/>
          <w:sz w:val="32"/>
          <w:szCs w:val="32"/>
          <w:highlight w:val="none"/>
        </w:rPr>
        <w:t>、关于无行贿犯罪记录的承诺</w:t>
      </w:r>
    </w:p>
    <w:p w14:paraId="1FC33C9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1.本单位承诺：本单位在经营活动中无行贿犯罪记录，未因行贿行为被司法机关、纪检监察机关或行政监管部门作出生效判决、决定或行政处罚。</w:t>
      </w:r>
    </w:p>
    <w:p w14:paraId="4FA31C5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w:t>
      </w:r>
      <w:r>
        <w:rPr>
          <w:rFonts w:hint="eastAsia" w:ascii="仿宋_GB2312" w:hAnsi="仿宋_GB2312" w:eastAsia="仿宋_GB2312" w:cs="仿宋_GB2312"/>
          <w:sz w:val="32"/>
          <w:szCs w:val="32"/>
          <w:highlight w:val="none"/>
          <w:lang w:val="en-US" w:eastAsia="zh-CN"/>
        </w:rPr>
        <w:t>法定代表人</w:t>
      </w:r>
      <w:r>
        <w:rPr>
          <w:rFonts w:hint="eastAsia" w:ascii="仿宋_GB2312" w:hAnsi="仿宋_GB2312" w:eastAsia="仿宋_GB2312" w:cs="仿宋_GB2312"/>
          <w:sz w:val="32"/>
          <w:szCs w:val="32"/>
          <w:highlight w:val="none"/>
        </w:rPr>
        <w:t>承诺：本单位的法定代表人</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姓名：XXX</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，无行贿犯罪记录，且在履职过程中从未实施、指使或放任任何形式的行贿行为。</w:t>
      </w:r>
    </w:p>
    <w:p w14:paraId="0066B17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黑体" w:hAnsi="黑体" w:eastAsia="黑体" w:cs="黑体"/>
          <w:sz w:val="32"/>
          <w:szCs w:val="32"/>
          <w:highlight w:val="none"/>
          <w:lang w:val="en-US" w:eastAsia="zh-CN"/>
        </w:rPr>
        <w:t>二</w:t>
      </w:r>
      <w:r>
        <w:rPr>
          <w:rFonts w:hint="eastAsia" w:ascii="黑体" w:hAnsi="黑体" w:eastAsia="黑体" w:cs="黑体"/>
          <w:sz w:val="32"/>
          <w:szCs w:val="32"/>
          <w:highlight w:val="none"/>
        </w:rPr>
        <w:t>、关于配合监督管理的承诺</w:t>
      </w:r>
    </w:p>
    <w:p w14:paraId="7ABF51A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本单位及</w:t>
      </w:r>
      <w:r>
        <w:rPr>
          <w:rFonts w:hint="eastAsia" w:ascii="仿宋_GB2312" w:hAnsi="仿宋_GB2312" w:eastAsia="仿宋_GB2312" w:cs="仿宋_GB2312"/>
          <w:sz w:val="32"/>
          <w:szCs w:val="32"/>
          <w:highlight w:val="none"/>
          <w:lang w:val="en-US" w:eastAsia="zh-CN"/>
        </w:rPr>
        <w:t>法定代表人</w:t>
      </w:r>
      <w:r>
        <w:rPr>
          <w:rFonts w:hint="eastAsia" w:ascii="仿宋_GB2312" w:hAnsi="仿宋_GB2312" w:eastAsia="仿宋_GB2312" w:cs="仿宋_GB2312"/>
          <w:sz w:val="32"/>
          <w:szCs w:val="32"/>
          <w:highlight w:val="none"/>
        </w:rPr>
        <w:t>完全知悉并同意遵守《中国水务投资集团有限公司党委关于加强在建项目、运营项目从业人员“八小时外”监督管理规定（试行）》及相关廉洁要求。具体承诺如下：</w:t>
      </w:r>
    </w:p>
    <w:p w14:paraId="3C0DDA5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1.真实披露：本承诺书所陈述内容真实、完整、准确。如提供虚假承诺，自愿承担一切法律后果及合同责任。</w:t>
      </w:r>
    </w:p>
    <w:p w14:paraId="3BC5E99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2.接受查询授权：同意并授权贵单位通过中国裁判文书网、信用中国等公开渠道，查询本单位及</w:t>
      </w:r>
      <w:r>
        <w:rPr>
          <w:rFonts w:hint="eastAsia" w:ascii="仿宋_GB2312" w:hAnsi="仿宋_GB2312" w:eastAsia="仿宋_GB2312" w:cs="仿宋_GB2312"/>
          <w:sz w:val="32"/>
          <w:szCs w:val="32"/>
          <w:highlight w:val="none"/>
          <w:lang w:val="en-US" w:eastAsia="zh-CN"/>
        </w:rPr>
        <w:t>法定代表人</w:t>
      </w:r>
      <w:r>
        <w:rPr>
          <w:rFonts w:hint="eastAsia" w:ascii="仿宋_GB2312" w:hAnsi="仿宋_GB2312" w:eastAsia="仿宋_GB2312" w:cs="仿宋_GB2312"/>
          <w:sz w:val="32"/>
          <w:szCs w:val="32"/>
          <w:highlight w:val="none"/>
        </w:rPr>
        <w:t>的行贿犯罪记录及其他相关信用信息。</w:t>
      </w:r>
    </w:p>
    <w:p w14:paraId="2937D0F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3.补充证明提供：若公开查询渠道无法完全满足贵单位审查要求，本单位及</w:t>
      </w:r>
      <w:r>
        <w:rPr>
          <w:rFonts w:hint="eastAsia" w:ascii="仿宋_GB2312" w:hAnsi="仿宋_GB2312" w:eastAsia="仿宋_GB2312" w:cs="仿宋_GB2312"/>
          <w:sz w:val="32"/>
          <w:szCs w:val="32"/>
          <w:highlight w:val="none"/>
          <w:lang w:val="en-US" w:eastAsia="zh-CN"/>
        </w:rPr>
        <w:t>法定代表人</w:t>
      </w:r>
      <w:r>
        <w:rPr>
          <w:rFonts w:hint="eastAsia" w:ascii="仿宋_GB2312" w:hAnsi="仿宋_GB2312" w:eastAsia="仿宋_GB2312" w:cs="仿宋_GB2312"/>
          <w:sz w:val="32"/>
          <w:szCs w:val="32"/>
          <w:highlight w:val="none"/>
        </w:rPr>
        <w:t>将积极配合提供个人无犯罪记录证明（由户籍地或经常居住地公安机关出具），或提供其他可证明无行贿记录的有效法律文件。</w:t>
      </w:r>
    </w:p>
    <w:p w14:paraId="4574A31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4.持续合规承诺：在本项目合作期间（包括“八小时外”），本单位及</w:t>
      </w:r>
      <w:r>
        <w:rPr>
          <w:rFonts w:hint="eastAsia" w:ascii="仿宋_GB2312" w:hAnsi="仿宋_GB2312" w:eastAsia="仿宋_GB2312" w:cs="仿宋_GB2312"/>
          <w:sz w:val="32"/>
          <w:szCs w:val="32"/>
          <w:highlight w:val="none"/>
          <w:lang w:val="en-US" w:eastAsia="zh-CN"/>
        </w:rPr>
        <w:t>法定代表人</w:t>
      </w:r>
      <w:r>
        <w:rPr>
          <w:rFonts w:hint="eastAsia" w:ascii="仿宋_GB2312" w:hAnsi="仿宋_GB2312" w:eastAsia="仿宋_GB2312" w:cs="仿宋_GB2312"/>
          <w:sz w:val="32"/>
          <w:szCs w:val="32"/>
          <w:highlight w:val="none"/>
        </w:rPr>
        <w:t>保证不以任何形式向贵单位及关联单位从业人员及其特定关系人进行利益输送、行贿或变相行贿，不实施“围猎”行为。</w:t>
      </w:r>
    </w:p>
    <w:p w14:paraId="6F42DCF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黑体" w:hAnsi="黑体" w:eastAsia="黑体" w:cs="黑体"/>
          <w:sz w:val="32"/>
          <w:szCs w:val="32"/>
          <w:highlight w:val="none"/>
        </w:rPr>
        <w:t>四、违反承诺的后果</w:t>
      </w:r>
    </w:p>
    <w:p w14:paraId="7951792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若本承诺书内容存在虚假，或本单位/</w:t>
      </w:r>
      <w:r>
        <w:rPr>
          <w:rFonts w:hint="eastAsia" w:ascii="仿宋_GB2312" w:hAnsi="仿宋_GB2312" w:eastAsia="仿宋_GB2312" w:cs="仿宋_GB2312"/>
          <w:sz w:val="32"/>
          <w:szCs w:val="32"/>
          <w:highlight w:val="none"/>
          <w:lang w:val="en-US" w:eastAsia="zh-CN"/>
        </w:rPr>
        <w:t>法定代表人</w:t>
      </w:r>
      <w:r>
        <w:rPr>
          <w:rFonts w:hint="eastAsia" w:ascii="仿宋_GB2312" w:hAnsi="仿宋_GB2312" w:eastAsia="仿宋_GB2312" w:cs="仿宋_GB2312"/>
          <w:sz w:val="32"/>
          <w:szCs w:val="32"/>
          <w:highlight w:val="none"/>
        </w:rPr>
        <w:t>在合作期间出现行贿、变相行贿等行为，贵单位有权：</w:t>
      </w:r>
    </w:p>
    <w:p w14:paraId="028F771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取消</w:t>
      </w:r>
      <w:r>
        <w:rPr>
          <w:rFonts w:hint="eastAsia" w:ascii="仿宋_GB2312" w:hAnsi="仿宋_GB2312" w:eastAsia="仿宋_GB2312" w:cs="仿宋_GB2312"/>
          <w:sz w:val="32"/>
          <w:szCs w:val="32"/>
          <w:highlight w:val="none"/>
          <w:lang w:val="en-US" w:eastAsia="zh-CN"/>
        </w:rPr>
        <w:t>本</w:t>
      </w:r>
      <w:r>
        <w:rPr>
          <w:rFonts w:hint="eastAsia" w:ascii="仿宋_GB2312" w:hAnsi="仿宋_GB2312" w:eastAsia="仿宋_GB2312" w:cs="仿宋_GB2312"/>
          <w:sz w:val="32"/>
          <w:szCs w:val="32"/>
          <w:highlight w:val="none"/>
        </w:rPr>
        <w:t>单位的合作资格或中标结果；</w:t>
      </w:r>
    </w:p>
    <w:p w14:paraId="38DC2F3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解除已签订的全部或部分合同，并追究</w:t>
      </w:r>
      <w:r>
        <w:rPr>
          <w:rFonts w:hint="eastAsia" w:ascii="仿宋_GB2312" w:hAnsi="仿宋_GB2312" w:eastAsia="仿宋_GB2312" w:cs="仿宋_GB2312"/>
          <w:sz w:val="32"/>
          <w:szCs w:val="32"/>
          <w:highlight w:val="none"/>
          <w:lang w:val="en-US" w:eastAsia="zh-CN"/>
        </w:rPr>
        <w:t>本</w:t>
      </w:r>
      <w:r>
        <w:rPr>
          <w:rFonts w:hint="eastAsia" w:ascii="仿宋_GB2312" w:hAnsi="仿宋_GB2312" w:eastAsia="仿宋_GB2312" w:cs="仿宋_GB2312"/>
          <w:sz w:val="32"/>
          <w:szCs w:val="32"/>
          <w:highlight w:val="none"/>
        </w:rPr>
        <w:t>单位的违约责任；</w:t>
      </w:r>
    </w:p>
    <w:p w14:paraId="4313724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将本单位列入贵单位供应商/合作单位黑名单，不再合作；</w:t>
      </w:r>
    </w:p>
    <w:p w14:paraId="6593462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将相关线索移送纪检监察机关或司法机关处理；</w:t>
      </w:r>
    </w:p>
    <w:p w14:paraId="29C2D3A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要求本单位承担由此造成的全部损失（包括直接损失、间接损失及维权费用）。</w:t>
      </w:r>
    </w:p>
    <w:p w14:paraId="4738B39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黑体" w:hAnsi="黑体" w:eastAsia="黑体" w:cs="黑体"/>
          <w:sz w:val="32"/>
          <w:szCs w:val="32"/>
          <w:highlight w:val="none"/>
        </w:rPr>
        <w:t>五、其他</w:t>
      </w:r>
    </w:p>
    <w:p w14:paraId="4D07F98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本承诺书一式</w:t>
      </w:r>
      <w:r>
        <w:rPr>
          <w:rFonts w:hint="eastAsia" w:ascii="仿宋_GB2312" w:hAnsi="仿宋_GB2312" w:eastAsia="仿宋_GB2312" w:cs="仿宋_GB2312"/>
          <w:sz w:val="32"/>
          <w:szCs w:val="32"/>
          <w:highlight w:val="none"/>
          <w:lang w:val="en-US" w:eastAsia="zh-CN"/>
        </w:rPr>
        <w:t>两</w:t>
      </w:r>
      <w:r>
        <w:rPr>
          <w:rFonts w:hint="eastAsia" w:ascii="仿宋_GB2312" w:hAnsi="仿宋_GB2312" w:eastAsia="仿宋_GB2312" w:cs="仿宋_GB2312"/>
          <w:sz w:val="32"/>
          <w:szCs w:val="32"/>
          <w:highlight w:val="none"/>
        </w:rPr>
        <w:t>份，贵单位执</w:t>
      </w:r>
      <w:r>
        <w:rPr>
          <w:rFonts w:hint="eastAsia" w:ascii="仿宋_GB2312" w:hAnsi="仿宋_GB2312" w:eastAsia="仿宋_GB2312" w:cs="仿宋_GB2312"/>
          <w:sz w:val="32"/>
          <w:szCs w:val="32"/>
          <w:highlight w:val="none"/>
          <w:lang w:val="en-US" w:eastAsia="zh-CN"/>
        </w:rPr>
        <w:t>一</w:t>
      </w:r>
      <w:r>
        <w:rPr>
          <w:rFonts w:hint="eastAsia" w:ascii="仿宋_GB2312" w:hAnsi="仿宋_GB2312" w:eastAsia="仿宋_GB2312" w:cs="仿宋_GB2312"/>
          <w:sz w:val="32"/>
          <w:szCs w:val="32"/>
          <w:highlight w:val="none"/>
        </w:rPr>
        <w:t>份，承诺单位执</w:t>
      </w:r>
      <w:r>
        <w:rPr>
          <w:rFonts w:hint="eastAsia" w:ascii="仿宋_GB2312" w:hAnsi="仿宋_GB2312" w:eastAsia="仿宋_GB2312" w:cs="仿宋_GB2312"/>
          <w:sz w:val="32"/>
          <w:szCs w:val="32"/>
          <w:highlight w:val="none"/>
          <w:lang w:val="en-US" w:eastAsia="zh-CN"/>
        </w:rPr>
        <w:t>一</w:t>
      </w:r>
      <w:r>
        <w:rPr>
          <w:rFonts w:hint="eastAsia" w:ascii="仿宋_GB2312" w:hAnsi="仿宋_GB2312" w:eastAsia="仿宋_GB2312" w:cs="仿宋_GB2312"/>
          <w:sz w:val="32"/>
          <w:szCs w:val="32"/>
          <w:highlight w:val="none"/>
        </w:rPr>
        <w:t>份，具有同等法律效力。</w:t>
      </w:r>
    </w:p>
    <w:p w14:paraId="0D34A74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p>
    <w:p w14:paraId="05717D9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 xml:space="preserve">承诺单位（盖章）： </w:t>
      </w:r>
    </w:p>
    <w:p w14:paraId="114D366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p>
    <w:p w14:paraId="0690F7B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 xml:space="preserve">法定代表人（签字或盖章）：  </w:t>
      </w:r>
    </w:p>
    <w:p w14:paraId="3E22340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p>
    <w:p w14:paraId="6BDEAB8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日期： ____年__月__日</w:t>
      </w:r>
    </w:p>
    <w:p w14:paraId="256F6E2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p>
    <w:p w14:paraId="338BF69F">
      <w:pPr>
        <w:widowControl w:val="0"/>
        <w:numPr>
          <w:ilvl w:val="0"/>
          <w:numId w:val="0"/>
        </w:numPr>
        <w:spacing w:line="240" w:lineRule="auto"/>
        <w:jc w:val="center"/>
        <w:outlineLvl w:val="1"/>
        <w:rPr>
          <w:rFonts w:hint="eastAsia" w:ascii="仿宋" w:hAnsi="仿宋" w:eastAsia="仿宋" w:cs="仿宋_GB2312"/>
          <w:b/>
          <w:bCs/>
          <w:sz w:val="28"/>
          <w:highlight w:val="none"/>
          <w:lang w:val="en-US" w:eastAsia="zh-CN"/>
        </w:rPr>
      </w:pPr>
    </w:p>
    <w:p w14:paraId="08DD00CF">
      <w:pPr>
        <w:widowControl w:val="0"/>
        <w:numPr>
          <w:ilvl w:val="0"/>
          <w:numId w:val="0"/>
        </w:numPr>
        <w:spacing w:line="240" w:lineRule="auto"/>
        <w:jc w:val="center"/>
        <w:outlineLvl w:val="1"/>
        <w:rPr>
          <w:rFonts w:hint="eastAsia" w:ascii="仿宋" w:hAnsi="仿宋" w:eastAsia="仿宋" w:cs="仿宋_GB2312"/>
          <w:b/>
          <w:bCs/>
          <w:sz w:val="28"/>
          <w:highlight w:val="none"/>
          <w:lang w:val="en-US" w:eastAsia="zh-CN"/>
        </w:rPr>
      </w:pPr>
    </w:p>
    <w:p w14:paraId="2539A2E5">
      <w:pPr>
        <w:widowControl w:val="0"/>
        <w:numPr>
          <w:ilvl w:val="0"/>
          <w:numId w:val="0"/>
        </w:numPr>
        <w:spacing w:line="240" w:lineRule="auto"/>
        <w:jc w:val="center"/>
        <w:outlineLvl w:val="1"/>
        <w:rPr>
          <w:rFonts w:hint="eastAsia" w:ascii="仿宋" w:hAnsi="仿宋" w:eastAsia="仿宋" w:cs="仿宋_GB2312"/>
          <w:b/>
          <w:bCs/>
          <w:sz w:val="28"/>
          <w:highlight w:val="none"/>
          <w:lang w:val="en-US" w:eastAsia="zh-CN"/>
        </w:rPr>
      </w:pPr>
    </w:p>
    <w:p w14:paraId="6BAF9D54">
      <w:pPr>
        <w:widowControl w:val="0"/>
        <w:numPr>
          <w:ilvl w:val="0"/>
          <w:numId w:val="0"/>
        </w:numPr>
        <w:spacing w:line="240" w:lineRule="auto"/>
        <w:jc w:val="center"/>
        <w:outlineLvl w:val="1"/>
        <w:rPr>
          <w:rFonts w:hint="eastAsia" w:ascii="仿宋" w:hAnsi="仿宋" w:eastAsia="仿宋" w:cs="仿宋_GB2312"/>
          <w:b/>
          <w:bCs/>
          <w:sz w:val="28"/>
          <w:highlight w:val="none"/>
          <w:lang w:val="en-US" w:eastAsia="zh-CN"/>
        </w:rPr>
      </w:pPr>
    </w:p>
    <w:p w14:paraId="4329BA69">
      <w:pPr>
        <w:widowControl w:val="0"/>
        <w:numPr>
          <w:ilvl w:val="0"/>
          <w:numId w:val="0"/>
        </w:numPr>
        <w:spacing w:line="240" w:lineRule="auto"/>
        <w:jc w:val="center"/>
        <w:outlineLvl w:val="1"/>
        <w:rPr>
          <w:rFonts w:hint="eastAsia" w:ascii="仿宋" w:hAnsi="仿宋" w:eastAsia="仿宋" w:cs="仿宋_GB2312"/>
          <w:b/>
          <w:bCs/>
          <w:sz w:val="28"/>
          <w:highlight w:val="none"/>
          <w:lang w:val="en-US" w:eastAsia="zh-CN"/>
        </w:rPr>
      </w:pPr>
    </w:p>
    <w:p w14:paraId="1CDAFCC9">
      <w:pPr>
        <w:widowControl w:val="0"/>
        <w:numPr>
          <w:ilvl w:val="0"/>
          <w:numId w:val="0"/>
        </w:numPr>
        <w:spacing w:line="240" w:lineRule="auto"/>
        <w:jc w:val="center"/>
        <w:outlineLvl w:val="1"/>
        <w:rPr>
          <w:rFonts w:hint="eastAsia" w:ascii="仿宋" w:hAnsi="仿宋" w:eastAsia="仿宋" w:cs="仿宋_GB2312"/>
          <w:b/>
          <w:bCs/>
          <w:sz w:val="28"/>
          <w:highlight w:val="none"/>
          <w:lang w:val="en-US" w:eastAsia="zh-CN"/>
        </w:rPr>
      </w:pPr>
    </w:p>
    <w:p w14:paraId="23A307E9">
      <w:pPr>
        <w:widowControl w:val="0"/>
        <w:numPr>
          <w:ilvl w:val="0"/>
          <w:numId w:val="0"/>
        </w:numPr>
        <w:spacing w:line="240" w:lineRule="auto"/>
        <w:jc w:val="center"/>
        <w:outlineLvl w:val="1"/>
        <w:rPr>
          <w:rFonts w:hint="eastAsia" w:ascii="仿宋" w:hAnsi="仿宋" w:eastAsia="仿宋" w:cs="仿宋_GB2312"/>
          <w:b/>
          <w:bCs/>
          <w:sz w:val="28"/>
          <w:highlight w:val="none"/>
          <w:lang w:val="en-US" w:eastAsia="zh-CN"/>
        </w:rPr>
      </w:pPr>
    </w:p>
    <w:p w14:paraId="229F69FD">
      <w:pPr>
        <w:widowControl w:val="0"/>
        <w:numPr>
          <w:ilvl w:val="0"/>
          <w:numId w:val="0"/>
        </w:numPr>
        <w:spacing w:line="240" w:lineRule="auto"/>
        <w:jc w:val="center"/>
        <w:outlineLvl w:val="1"/>
        <w:rPr>
          <w:rFonts w:hint="eastAsia" w:ascii="仿宋" w:hAnsi="仿宋" w:eastAsia="仿宋" w:cs="仿宋_GB2312"/>
          <w:b/>
          <w:bCs/>
          <w:sz w:val="28"/>
          <w:highlight w:val="none"/>
          <w:lang w:val="en-US" w:eastAsia="zh-CN"/>
        </w:rPr>
      </w:pPr>
    </w:p>
    <w:p w14:paraId="4AAE4A9F">
      <w:pPr>
        <w:widowControl w:val="0"/>
        <w:numPr>
          <w:ilvl w:val="0"/>
          <w:numId w:val="0"/>
        </w:numPr>
        <w:spacing w:line="240" w:lineRule="auto"/>
        <w:jc w:val="center"/>
        <w:outlineLvl w:val="1"/>
        <w:rPr>
          <w:rFonts w:hint="eastAsia" w:ascii="仿宋" w:hAnsi="仿宋" w:eastAsia="仿宋" w:cs="仿宋_GB2312"/>
          <w:b/>
          <w:bCs/>
          <w:sz w:val="28"/>
          <w:highlight w:val="none"/>
          <w:lang w:val="en-US" w:eastAsia="zh-CN"/>
        </w:rPr>
      </w:pPr>
    </w:p>
    <w:p w14:paraId="1D49DDE6">
      <w:pPr>
        <w:widowControl w:val="0"/>
        <w:numPr>
          <w:ilvl w:val="0"/>
          <w:numId w:val="0"/>
        </w:numPr>
        <w:spacing w:line="240" w:lineRule="auto"/>
        <w:jc w:val="center"/>
        <w:outlineLvl w:val="1"/>
        <w:rPr>
          <w:rFonts w:hint="eastAsia" w:ascii="仿宋" w:hAnsi="仿宋" w:eastAsia="仿宋" w:cs="仿宋_GB2312"/>
          <w:b/>
          <w:bCs/>
          <w:sz w:val="28"/>
          <w:highlight w:val="none"/>
          <w:lang w:val="en-US" w:eastAsia="zh-CN"/>
        </w:rPr>
      </w:pPr>
    </w:p>
    <w:p w14:paraId="79744015">
      <w:pPr>
        <w:widowControl w:val="0"/>
        <w:numPr>
          <w:ilvl w:val="0"/>
          <w:numId w:val="0"/>
        </w:numPr>
        <w:spacing w:line="240" w:lineRule="auto"/>
        <w:jc w:val="center"/>
        <w:outlineLvl w:val="1"/>
        <w:rPr>
          <w:rFonts w:hint="eastAsia" w:ascii="仿宋" w:hAnsi="仿宋" w:eastAsia="仿宋" w:cs="仿宋_GB2312"/>
          <w:b/>
          <w:bCs/>
          <w:sz w:val="28"/>
          <w:highlight w:val="none"/>
          <w:lang w:val="en-US" w:eastAsia="zh-CN"/>
        </w:rPr>
      </w:pPr>
    </w:p>
    <w:p w14:paraId="2F8CC9B2">
      <w:pPr>
        <w:widowControl w:val="0"/>
        <w:numPr>
          <w:ilvl w:val="0"/>
          <w:numId w:val="0"/>
        </w:numPr>
        <w:spacing w:line="240" w:lineRule="auto"/>
        <w:jc w:val="center"/>
        <w:outlineLvl w:val="1"/>
        <w:rPr>
          <w:rFonts w:hint="eastAsia" w:ascii="仿宋" w:hAnsi="仿宋" w:eastAsia="仿宋" w:cs="仿宋_GB2312"/>
          <w:b/>
          <w:bCs/>
          <w:sz w:val="28"/>
          <w:highlight w:val="none"/>
          <w:lang w:val="en-US" w:eastAsia="zh-CN"/>
        </w:rPr>
      </w:pPr>
    </w:p>
    <w:p w14:paraId="7C87DE09">
      <w:pPr>
        <w:widowControl w:val="0"/>
        <w:numPr>
          <w:ilvl w:val="0"/>
          <w:numId w:val="0"/>
        </w:numPr>
        <w:spacing w:line="240" w:lineRule="auto"/>
        <w:jc w:val="center"/>
        <w:outlineLvl w:val="1"/>
        <w:rPr>
          <w:rFonts w:hint="eastAsia" w:ascii="仿宋" w:hAnsi="仿宋" w:eastAsia="仿宋" w:cs="仿宋_GB2312"/>
          <w:b/>
          <w:bCs/>
          <w:sz w:val="28"/>
          <w:highlight w:val="none"/>
          <w:lang w:val="en-US" w:eastAsia="zh-CN"/>
        </w:rPr>
      </w:pPr>
    </w:p>
    <w:p w14:paraId="12903C29">
      <w:pPr>
        <w:widowControl w:val="0"/>
        <w:numPr>
          <w:ilvl w:val="0"/>
          <w:numId w:val="0"/>
        </w:numPr>
        <w:spacing w:line="240" w:lineRule="auto"/>
        <w:jc w:val="center"/>
        <w:outlineLvl w:val="1"/>
        <w:rPr>
          <w:rFonts w:hint="eastAsia" w:ascii="仿宋" w:hAnsi="仿宋" w:eastAsia="仿宋" w:cs="仿宋_GB2312"/>
          <w:b/>
          <w:bCs/>
          <w:sz w:val="28"/>
          <w:highlight w:val="none"/>
          <w:lang w:val="en-US" w:eastAsia="zh-CN"/>
        </w:rPr>
      </w:pPr>
    </w:p>
    <w:p w14:paraId="59032CFD">
      <w:pPr>
        <w:widowControl w:val="0"/>
        <w:numPr>
          <w:ilvl w:val="0"/>
          <w:numId w:val="0"/>
        </w:numPr>
        <w:spacing w:line="240" w:lineRule="auto"/>
        <w:jc w:val="center"/>
        <w:outlineLvl w:val="1"/>
        <w:rPr>
          <w:rFonts w:hint="eastAsia" w:ascii="仿宋" w:hAnsi="仿宋" w:eastAsia="仿宋" w:cs="仿宋_GB2312"/>
          <w:b/>
          <w:bCs/>
          <w:sz w:val="28"/>
          <w:highlight w:val="none"/>
          <w:lang w:val="en-US" w:eastAsia="zh-CN"/>
        </w:rPr>
      </w:pPr>
    </w:p>
    <w:p w14:paraId="35E72D35">
      <w:pPr>
        <w:widowControl w:val="0"/>
        <w:numPr>
          <w:ilvl w:val="0"/>
          <w:numId w:val="0"/>
        </w:numPr>
        <w:spacing w:line="240" w:lineRule="auto"/>
        <w:jc w:val="center"/>
        <w:outlineLvl w:val="1"/>
        <w:rPr>
          <w:rFonts w:hint="eastAsia" w:ascii="仿宋" w:hAnsi="仿宋" w:eastAsia="仿宋" w:cs="仿宋_GB2312"/>
          <w:b/>
          <w:bCs/>
          <w:sz w:val="28"/>
          <w:highlight w:val="none"/>
          <w:lang w:val="en-US" w:eastAsia="zh-CN"/>
        </w:rPr>
      </w:pPr>
    </w:p>
    <w:p w14:paraId="5B54F226">
      <w:pPr>
        <w:widowControl w:val="0"/>
        <w:numPr>
          <w:ilvl w:val="0"/>
          <w:numId w:val="0"/>
        </w:numPr>
        <w:spacing w:line="240" w:lineRule="auto"/>
        <w:jc w:val="center"/>
        <w:outlineLvl w:val="1"/>
        <w:rPr>
          <w:rFonts w:hint="eastAsia" w:ascii="仿宋" w:hAnsi="仿宋" w:eastAsia="仿宋" w:cs="仿宋_GB2312"/>
          <w:b/>
          <w:bCs/>
          <w:sz w:val="28"/>
          <w:highlight w:val="none"/>
          <w:lang w:val="en-US" w:eastAsia="zh-CN"/>
        </w:rPr>
      </w:pPr>
    </w:p>
    <w:p w14:paraId="21F27217">
      <w:pPr>
        <w:widowControl w:val="0"/>
        <w:numPr>
          <w:ilvl w:val="0"/>
          <w:numId w:val="0"/>
        </w:numPr>
        <w:spacing w:line="240" w:lineRule="auto"/>
        <w:jc w:val="center"/>
        <w:outlineLvl w:val="1"/>
        <w:rPr>
          <w:rFonts w:hint="eastAsia" w:ascii="仿宋" w:hAnsi="仿宋" w:eastAsia="仿宋" w:cs="仿宋_GB2312"/>
          <w:b/>
          <w:bCs/>
          <w:sz w:val="28"/>
          <w:highlight w:val="none"/>
          <w:lang w:val="en-US" w:eastAsia="zh-CN"/>
        </w:rPr>
      </w:pPr>
    </w:p>
    <w:p w14:paraId="04E500F6">
      <w:pPr>
        <w:widowControl w:val="0"/>
        <w:numPr>
          <w:ilvl w:val="0"/>
          <w:numId w:val="0"/>
        </w:numPr>
        <w:spacing w:line="240" w:lineRule="auto"/>
        <w:jc w:val="center"/>
        <w:outlineLvl w:val="1"/>
        <w:rPr>
          <w:rFonts w:hint="eastAsia" w:ascii="仿宋" w:hAnsi="仿宋" w:eastAsia="仿宋" w:cs="仿宋_GB2312"/>
          <w:b/>
          <w:bCs/>
          <w:sz w:val="28"/>
          <w:highlight w:val="none"/>
          <w:lang w:val="en-US" w:eastAsia="zh-CN"/>
        </w:rPr>
      </w:pPr>
    </w:p>
    <w:p w14:paraId="3EFA6D3E">
      <w:pPr>
        <w:widowControl w:val="0"/>
        <w:numPr>
          <w:ilvl w:val="0"/>
          <w:numId w:val="0"/>
        </w:numPr>
        <w:spacing w:line="240" w:lineRule="auto"/>
        <w:jc w:val="center"/>
        <w:outlineLvl w:val="1"/>
        <w:rPr>
          <w:rFonts w:hint="eastAsia" w:ascii="仿宋" w:hAnsi="仿宋" w:eastAsia="仿宋" w:cs="仿宋_GB2312"/>
          <w:b/>
          <w:bCs/>
          <w:sz w:val="28"/>
          <w:highlight w:val="none"/>
          <w:lang w:val="en-US" w:eastAsia="zh-CN"/>
        </w:rPr>
      </w:pPr>
    </w:p>
    <w:p w14:paraId="0B6918C9">
      <w:pPr>
        <w:widowControl w:val="0"/>
        <w:numPr>
          <w:ilvl w:val="0"/>
          <w:numId w:val="0"/>
        </w:numPr>
        <w:spacing w:line="240" w:lineRule="auto"/>
        <w:jc w:val="center"/>
        <w:outlineLvl w:val="1"/>
        <w:rPr>
          <w:rFonts w:hint="eastAsia" w:ascii="仿宋" w:hAnsi="仿宋" w:eastAsia="仿宋" w:cs="仿宋_GB2312"/>
          <w:b/>
          <w:bCs/>
          <w:sz w:val="28"/>
          <w:highlight w:val="none"/>
          <w:lang w:val="en-US" w:eastAsia="zh-CN"/>
        </w:rPr>
      </w:pPr>
    </w:p>
    <w:p w14:paraId="469E93C7">
      <w:pPr>
        <w:widowControl w:val="0"/>
        <w:numPr>
          <w:ilvl w:val="0"/>
          <w:numId w:val="0"/>
        </w:numPr>
        <w:spacing w:line="240" w:lineRule="auto"/>
        <w:jc w:val="center"/>
        <w:outlineLvl w:val="1"/>
        <w:rPr>
          <w:rFonts w:hint="eastAsia" w:ascii="仿宋" w:hAnsi="仿宋" w:eastAsia="仿宋" w:cs="仿宋_GB2312"/>
          <w:b/>
          <w:bCs/>
          <w:sz w:val="28"/>
          <w:highlight w:val="none"/>
          <w:lang w:val="en-US" w:eastAsia="zh-CN"/>
        </w:rPr>
      </w:pPr>
    </w:p>
    <w:p w14:paraId="04F706A4">
      <w:pPr>
        <w:widowControl w:val="0"/>
        <w:numPr>
          <w:ilvl w:val="0"/>
          <w:numId w:val="0"/>
        </w:numPr>
        <w:spacing w:line="240" w:lineRule="auto"/>
        <w:jc w:val="center"/>
        <w:outlineLvl w:val="1"/>
        <w:rPr>
          <w:rFonts w:hint="eastAsia" w:ascii="仿宋" w:hAnsi="仿宋" w:eastAsia="仿宋" w:cs="仿宋_GB2312"/>
          <w:b/>
          <w:bCs/>
          <w:sz w:val="28"/>
          <w:highlight w:val="none"/>
          <w:lang w:val="en-US" w:eastAsia="zh-CN"/>
        </w:rPr>
      </w:pPr>
    </w:p>
    <w:p w14:paraId="5A89ACDE">
      <w:pPr>
        <w:widowControl w:val="0"/>
        <w:numPr>
          <w:ilvl w:val="0"/>
          <w:numId w:val="0"/>
        </w:numPr>
        <w:spacing w:line="240" w:lineRule="auto"/>
        <w:jc w:val="center"/>
        <w:outlineLvl w:val="1"/>
        <w:rPr>
          <w:rFonts w:hint="eastAsia" w:ascii="仿宋" w:hAnsi="仿宋" w:eastAsia="仿宋" w:cs="仿宋_GB2312"/>
          <w:b/>
          <w:bCs/>
          <w:sz w:val="28"/>
          <w:highlight w:val="none"/>
          <w:lang w:val="en-US" w:eastAsia="zh-CN"/>
        </w:rPr>
      </w:pPr>
    </w:p>
    <w:p w14:paraId="2595D7D5">
      <w:pPr>
        <w:widowControl w:val="0"/>
        <w:numPr>
          <w:ilvl w:val="0"/>
          <w:numId w:val="0"/>
        </w:numPr>
        <w:spacing w:line="240" w:lineRule="auto"/>
        <w:jc w:val="center"/>
        <w:outlineLvl w:val="1"/>
        <w:rPr>
          <w:rFonts w:hint="eastAsia" w:ascii="仿宋" w:hAnsi="仿宋" w:eastAsia="仿宋" w:cs="仿宋_GB2312"/>
          <w:b/>
          <w:bCs/>
          <w:sz w:val="28"/>
          <w:highlight w:val="none"/>
          <w:lang w:val="en-US" w:eastAsia="zh-CN"/>
        </w:rPr>
      </w:pPr>
    </w:p>
    <w:p w14:paraId="08CBCF2B">
      <w:pPr>
        <w:widowControl w:val="0"/>
        <w:numPr>
          <w:ilvl w:val="0"/>
          <w:numId w:val="0"/>
        </w:numPr>
        <w:spacing w:line="240" w:lineRule="auto"/>
        <w:jc w:val="center"/>
        <w:outlineLvl w:val="1"/>
        <w:rPr>
          <w:rFonts w:hint="eastAsia" w:ascii="仿宋" w:hAnsi="仿宋" w:eastAsia="仿宋" w:cs="仿宋_GB2312"/>
          <w:b/>
          <w:bCs/>
          <w:sz w:val="28"/>
          <w:highlight w:val="none"/>
          <w:lang w:val="en-US" w:eastAsia="zh-CN"/>
        </w:rPr>
      </w:pPr>
    </w:p>
    <w:p w14:paraId="5A09FB09">
      <w:pPr>
        <w:widowControl w:val="0"/>
        <w:numPr>
          <w:ilvl w:val="0"/>
          <w:numId w:val="0"/>
        </w:numPr>
        <w:spacing w:line="240" w:lineRule="auto"/>
        <w:jc w:val="center"/>
        <w:outlineLvl w:val="1"/>
        <w:rPr>
          <w:rFonts w:hint="eastAsia" w:ascii="仿宋" w:hAnsi="仿宋" w:eastAsia="仿宋" w:cs="仿宋_GB2312"/>
          <w:b/>
          <w:bCs/>
          <w:sz w:val="28"/>
          <w:highlight w:val="none"/>
          <w:lang w:val="en-US" w:eastAsia="zh-CN"/>
        </w:rPr>
      </w:pPr>
    </w:p>
    <w:p w14:paraId="69D76B33">
      <w:pPr>
        <w:widowControl w:val="0"/>
        <w:numPr>
          <w:ilvl w:val="0"/>
          <w:numId w:val="0"/>
        </w:numPr>
        <w:spacing w:line="240" w:lineRule="auto"/>
        <w:jc w:val="center"/>
        <w:outlineLvl w:val="1"/>
        <w:rPr>
          <w:rFonts w:hint="eastAsia" w:ascii="仿宋" w:hAnsi="仿宋" w:eastAsia="仿宋" w:cs="仿宋_GB2312"/>
          <w:b/>
          <w:bCs/>
          <w:sz w:val="28"/>
          <w:highlight w:val="none"/>
          <w:lang w:val="en-US" w:eastAsia="zh-CN"/>
        </w:rPr>
      </w:pPr>
    </w:p>
    <w:p w14:paraId="7B6A2154">
      <w:pPr>
        <w:widowControl w:val="0"/>
        <w:numPr>
          <w:ilvl w:val="0"/>
          <w:numId w:val="0"/>
        </w:numPr>
        <w:spacing w:line="240" w:lineRule="auto"/>
        <w:jc w:val="center"/>
        <w:outlineLvl w:val="1"/>
        <w:rPr>
          <w:rFonts w:hint="eastAsia" w:ascii="仿宋" w:hAnsi="仿宋" w:eastAsia="仿宋" w:cs="仿宋_GB2312"/>
          <w:b/>
          <w:bCs/>
          <w:sz w:val="28"/>
          <w:highlight w:val="none"/>
          <w:lang w:val="en-US" w:eastAsia="zh-CN"/>
        </w:rPr>
      </w:pPr>
      <w:r>
        <w:rPr>
          <w:rFonts w:hint="eastAsia" w:ascii="仿宋" w:hAnsi="仿宋" w:eastAsia="仿宋" w:cs="仿宋_GB2312"/>
          <w:b/>
          <w:bCs/>
          <w:sz w:val="28"/>
          <w:highlight w:val="none"/>
          <w:lang w:val="en-US" w:eastAsia="zh-CN"/>
        </w:rPr>
        <w:t>7-2法人无犯罪记录证明</w:t>
      </w:r>
    </w:p>
    <w:p w14:paraId="3357FB0F">
      <w:pPr>
        <w:widowControl w:val="0"/>
        <w:numPr>
          <w:ilvl w:val="0"/>
          <w:numId w:val="0"/>
        </w:numPr>
        <w:spacing w:line="240" w:lineRule="auto"/>
        <w:jc w:val="center"/>
        <w:outlineLvl w:val="1"/>
        <w:rPr>
          <w:rFonts w:hint="eastAsia" w:ascii="仿宋" w:hAnsi="仿宋" w:eastAsia="仿宋" w:cs="仿宋_GB2312"/>
          <w:b/>
          <w:bCs/>
          <w:sz w:val="28"/>
          <w:highlight w:val="none"/>
          <w:lang w:val="en-US" w:eastAsia="zh-CN"/>
        </w:rPr>
      </w:pPr>
    </w:p>
    <w:p w14:paraId="73EC561D">
      <w:pPr>
        <w:widowControl w:val="0"/>
        <w:numPr>
          <w:ilvl w:val="0"/>
          <w:numId w:val="0"/>
        </w:numPr>
        <w:spacing w:line="240" w:lineRule="auto"/>
        <w:jc w:val="center"/>
        <w:outlineLvl w:val="1"/>
        <w:rPr>
          <w:rFonts w:hint="eastAsia" w:ascii="仿宋" w:hAnsi="仿宋" w:eastAsia="仿宋" w:cs="仿宋_GB2312"/>
          <w:b/>
          <w:bCs/>
          <w:sz w:val="28"/>
          <w:highlight w:val="none"/>
          <w:lang w:val="en-US" w:eastAsia="zh-CN"/>
        </w:rPr>
      </w:pPr>
    </w:p>
    <w:p w14:paraId="643ACB88">
      <w:pPr>
        <w:widowControl w:val="0"/>
        <w:numPr>
          <w:ilvl w:val="0"/>
          <w:numId w:val="0"/>
        </w:numPr>
        <w:spacing w:line="240" w:lineRule="auto"/>
        <w:jc w:val="center"/>
        <w:outlineLvl w:val="1"/>
        <w:rPr>
          <w:rFonts w:hint="eastAsia" w:ascii="仿宋" w:hAnsi="仿宋" w:eastAsia="仿宋" w:cs="仿宋_GB2312"/>
          <w:b/>
          <w:bCs/>
          <w:sz w:val="28"/>
          <w:highlight w:val="none"/>
          <w:lang w:val="en-US" w:eastAsia="zh-CN"/>
        </w:rPr>
      </w:pPr>
    </w:p>
    <w:p w14:paraId="6058F952">
      <w:pPr>
        <w:widowControl w:val="0"/>
        <w:numPr>
          <w:ilvl w:val="0"/>
          <w:numId w:val="0"/>
        </w:numPr>
        <w:spacing w:line="240" w:lineRule="auto"/>
        <w:jc w:val="center"/>
        <w:outlineLvl w:val="1"/>
        <w:rPr>
          <w:rFonts w:hint="eastAsia" w:ascii="仿宋" w:hAnsi="仿宋" w:eastAsia="仿宋" w:cs="仿宋_GB2312"/>
          <w:b/>
          <w:bCs/>
          <w:sz w:val="28"/>
          <w:highlight w:val="none"/>
          <w:lang w:val="en-US" w:eastAsia="zh-CN"/>
        </w:rPr>
      </w:pPr>
    </w:p>
    <w:p w14:paraId="7DC1C42A">
      <w:pPr>
        <w:widowControl w:val="0"/>
        <w:numPr>
          <w:ilvl w:val="0"/>
          <w:numId w:val="0"/>
        </w:numPr>
        <w:spacing w:line="240" w:lineRule="auto"/>
        <w:jc w:val="center"/>
        <w:outlineLvl w:val="1"/>
        <w:rPr>
          <w:rFonts w:hint="eastAsia" w:ascii="仿宋" w:hAnsi="仿宋" w:eastAsia="仿宋" w:cs="仿宋_GB2312"/>
          <w:b/>
          <w:bCs/>
          <w:sz w:val="28"/>
          <w:highlight w:val="none"/>
          <w:lang w:val="en-US" w:eastAsia="zh-CN"/>
        </w:rPr>
      </w:pPr>
    </w:p>
    <w:p w14:paraId="7CCB82D0">
      <w:pPr>
        <w:widowControl w:val="0"/>
        <w:numPr>
          <w:ilvl w:val="0"/>
          <w:numId w:val="0"/>
        </w:numPr>
        <w:spacing w:line="240" w:lineRule="auto"/>
        <w:jc w:val="center"/>
        <w:outlineLvl w:val="1"/>
        <w:rPr>
          <w:rFonts w:hint="eastAsia" w:ascii="仿宋" w:hAnsi="仿宋" w:eastAsia="仿宋" w:cs="仿宋_GB2312"/>
          <w:b/>
          <w:bCs/>
          <w:sz w:val="28"/>
          <w:highlight w:val="none"/>
          <w:lang w:val="en-US" w:eastAsia="zh-CN"/>
        </w:rPr>
      </w:pPr>
    </w:p>
    <w:p w14:paraId="555276E8">
      <w:pPr>
        <w:widowControl w:val="0"/>
        <w:numPr>
          <w:ilvl w:val="0"/>
          <w:numId w:val="0"/>
        </w:numPr>
        <w:spacing w:line="240" w:lineRule="auto"/>
        <w:jc w:val="center"/>
        <w:outlineLvl w:val="1"/>
        <w:rPr>
          <w:rFonts w:hint="eastAsia" w:ascii="仿宋" w:hAnsi="仿宋" w:eastAsia="仿宋" w:cs="仿宋_GB2312"/>
          <w:b/>
          <w:bCs/>
          <w:sz w:val="28"/>
          <w:highlight w:val="none"/>
          <w:lang w:val="en-US" w:eastAsia="zh-CN"/>
        </w:rPr>
      </w:pPr>
    </w:p>
    <w:p w14:paraId="48A6D3E1">
      <w:pPr>
        <w:widowControl w:val="0"/>
        <w:numPr>
          <w:ilvl w:val="0"/>
          <w:numId w:val="0"/>
        </w:numPr>
        <w:spacing w:line="240" w:lineRule="auto"/>
        <w:jc w:val="center"/>
        <w:outlineLvl w:val="1"/>
        <w:rPr>
          <w:rFonts w:hint="eastAsia" w:ascii="仿宋" w:hAnsi="仿宋" w:eastAsia="仿宋" w:cs="仿宋_GB2312"/>
          <w:b/>
          <w:bCs/>
          <w:sz w:val="28"/>
          <w:highlight w:val="none"/>
          <w:lang w:val="en-US" w:eastAsia="zh-CN"/>
        </w:rPr>
      </w:pPr>
    </w:p>
    <w:p w14:paraId="6B59F3B3">
      <w:pPr>
        <w:widowControl w:val="0"/>
        <w:numPr>
          <w:ilvl w:val="0"/>
          <w:numId w:val="0"/>
        </w:numPr>
        <w:spacing w:line="240" w:lineRule="auto"/>
        <w:jc w:val="center"/>
        <w:outlineLvl w:val="1"/>
        <w:rPr>
          <w:rFonts w:hint="eastAsia" w:ascii="仿宋" w:hAnsi="仿宋" w:eastAsia="仿宋" w:cs="仿宋_GB2312"/>
          <w:b/>
          <w:bCs/>
          <w:sz w:val="28"/>
          <w:highlight w:val="none"/>
          <w:lang w:val="en-US" w:eastAsia="zh-CN"/>
        </w:rPr>
      </w:pPr>
    </w:p>
    <w:p w14:paraId="01EE5F0B">
      <w:pPr>
        <w:widowControl w:val="0"/>
        <w:numPr>
          <w:ilvl w:val="0"/>
          <w:numId w:val="0"/>
        </w:numPr>
        <w:spacing w:line="240" w:lineRule="auto"/>
        <w:jc w:val="center"/>
        <w:outlineLvl w:val="1"/>
        <w:rPr>
          <w:rFonts w:hint="eastAsia" w:ascii="仿宋" w:hAnsi="仿宋" w:eastAsia="仿宋" w:cs="仿宋_GB2312"/>
          <w:b/>
          <w:bCs/>
          <w:sz w:val="28"/>
          <w:highlight w:val="none"/>
          <w:lang w:val="en-US" w:eastAsia="zh-CN"/>
        </w:rPr>
      </w:pPr>
    </w:p>
    <w:p w14:paraId="0C9CAE56">
      <w:pPr>
        <w:widowControl w:val="0"/>
        <w:numPr>
          <w:ilvl w:val="0"/>
          <w:numId w:val="0"/>
        </w:numPr>
        <w:spacing w:line="240" w:lineRule="auto"/>
        <w:jc w:val="center"/>
        <w:outlineLvl w:val="1"/>
        <w:rPr>
          <w:rFonts w:hint="eastAsia" w:ascii="仿宋" w:hAnsi="仿宋" w:eastAsia="仿宋" w:cs="仿宋_GB2312"/>
          <w:b/>
          <w:bCs/>
          <w:sz w:val="28"/>
          <w:highlight w:val="none"/>
          <w:lang w:val="en-US" w:eastAsia="zh-CN"/>
        </w:rPr>
      </w:pPr>
    </w:p>
    <w:p w14:paraId="668FACD7">
      <w:pPr>
        <w:widowControl w:val="0"/>
        <w:numPr>
          <w:ilvl w:val="0"/>
          <w:numId w:val="0"/>
        </w:numPr>
        <w:spacing w:line="240" w:lineRule="auto"/>
        <w:jc w:val="center"/>
        <w:outlineLvl w:val="1"/>
        <w:rPr>
          <w:rFonts w:hint="eastAsia" w:ascii="仿宋" w:hAnsi="仿宋" w:eastAsia="仿宋" w:cs="仿宋_GB2312"/>
          <w:b/>
          <w:bCs/>
          <w:sz w:val="28"/>
          <w:highlight w:val="none"/>
          <w:lang w:val="en-US" w:eastAsia="zh-CN"/>
        </w:rPr>
      </w:pPr>
    </w:p>
    <w:p w14:paraId="0B585689">
      <w:pPr>
        <w:widowControl w:val="0"/>
        <w:numPr>
          <w:ilvl w:val="0"/>
          <w:numId w:val="0"/>
        </w:numPr>
        <w:spacing w:line="240" w:lineRule="auto"/>
        <w:jc w:val="center"/>
        <w:outlineLvl w:val="1"/>
        <w:rPr>
          <w:rFonts w:hint="eastAsia" w:ascii="仿宋" w:hAnsi="仿宋" w:eastAsia="仿宋" w:cs="仿宋_GB2312"/>
          <w:b/>
          <w:bCs/>
          <w:sz w:val="28"/>
          <w:highlight w:val="none"/>
          <w:lang w:val="en-US" w:eastAsia="zh-CN"/>
        </w:rPr>
      </w:pPr>
    </w:p>
    <w:p w14:paraId="7E6B9295">
      <w:pPr>
        <w:widowControl w:val="0"/>
        <w:numPr>
          <w:ilvl w:val="0"/>
          <w:numId w:val="0"/>
        </w:numPr>
        <w:spacing w:line="240" w:lineRule="auto"/>
        <w:jc w:val="center"/>
        <w:outlineLvl w:val="1"/>
        <w:rPr>
          <w:rFonts w:hint="eastAsia" w:ascii="仿宋" w:hAnsi="仿宋" w:eastAsia="仿宋" w:cs="仿宋_GB2312"/>
          <w:b/>
          <w:bCs/>
          <w:sz w:val="28"/>
          <w:highlight w:val="none"/>
          <w:lang w:val="en-US" w:eastAsia="zh-CN"/>
        </w:rPr>
      </w:pPr>
    </w:p>
    <w:p w14:paraId="7DEEA6CE">
      <w:pPr>
        <w:widowControl w:val="0"/>
        <w:numPr>
          <w:ilvl w:val="0"/>
          <w:numId w:val="0"/>
        </w:numPr>
        <w:spacing w:line="240" w:lineRule="auto"/>
        <w:jc w:val="center"/>
        <w:outlineLvl w:val="1"/>
        <w:rPr>
          <w:rFonts w:hint="eastAsia" w:ascii="仿宋" w:hAnsi="仿宋" w:eastAsia="仿宋" w:cs="仿宋_GB2312"/>
          <w:b/>
          <w:bCs/>
          <w:sz w:val="28"/>
          <w:highlight w:val="none"/>
          <w:lang w:val="en-US" w:eastAsia="zh-CN"/>
        </w:rPr>
      </w:pPr>
    </w:p>
    <w:p w14:paraId="4D46D03E">
      <w:pPr>
        <w:widowControl w:val="0"/>
        <w:numPr>
          <w:ilvl w:val="0"/>
          <w:numId w:val="0"/>
        </w:numPr>
        <w:spacing w:line="240" w:lineRule="auto"/>
        <w:jc w:val="center"/>
        <w:outlineLvl w:val="1"/>
        <w:rPr>
          <w:rFonts w:hint="eastAsia" w:ascii="仿宋" w:hAnsi="仿宋" w:eastAsia="仿宋" w:cs="仿宋_GB2312"/>
          <w:b/>
          <w:bCs/>
          <w:sz w:val="28"/>
          <w:highlight w:val="none"/>
          <w:lang w:val="en-US" w:eastAsia="zh-CN"/>
        </w:rPr>
      </w:pPr>
    </w:p>
    <w:p w14:paraId="60ED6668">
      <w:pPr>
        <w:widowControl w:val="0"/>
        <w:numPr>
          <w:ilvl w:val="0"/>
          <w:numId w:val="0"/>
        </w:numPr>
        <w:spacing w:line="240" w:lineRule="auto"/>
        <w:jc w:val="center"/>
        <w:outlineLvl w:val="1"/>
        <w:rPr>
          <w:rFonts w:hint="eastAsia" w:ascii="仿宋" w:hAnsi="仿宋" w:eastAsia="仿宋" w:cs="仿宋_GB2312"/>
          <w:b/>
          <w:bCs/>
          <w:sz w:val="28"/>
          <w:highlight w:val="none"/>
          <w:lang w:val="en-US" w:eastAsia="zh-CN"/>
        </w:rPr>
      </w:pPr>
    </w:p>
    <w:p w14:paraId="6F1C2DB2">
      <w:pPr>
        <w:widowControl w:val="0"/>
        <w:numPr>
          <w:ilvl w:val="0"/>
          <w:numId w:val="0"/>
        </w:numPr>
        <w:spacing w:line="240" w:lineRule="auto"/>
        <w:jc w:val="center"/>
        <w:outlineLvl w:val="1"/>
        <w:rPr>
          <w:rFonts w:hint="eastAsia" w:ascii="仿宋" w:hAnsi="仿宋" w:eastAsia="仿宋" w:cs="仿宋_GB2312"/>
          <w:b/>
          <w:bCs/>
          <w:sz w:val="28"/>
          <w:highlight w:val="none"/>
          <w:lang w:val="en-US" w:eastAsia="zh-CN"/>
        </w:rPr>
      </w:pPr>
    </w:p>
    <w:p w14:paraId="71B37822">
      <w:pPr>
        <w:widowControl w:val="0"/>
        <w:numPr>
          <w:ilvl w:val="0"/>
          <w:numId w:val="0"/>
        </w:numPr>
        <w:spacing w:line="240" w:lineRule="auto"/>
        <w:jc w:val="center"/>
        <w:outlineLvl w:val="1"/>
        <w:rPr>
          <w:rFonts w:hint="eastAsia" w:ascii="仿宋" w:hAnsi="仿宋" w:eastAsia="仿宋" w:cs="仿宋_GB2312"/>
          <w:b/>
          <w:bCs/>
          <w:sz w:val="28"/>
          <w:highlight w:val="none"/>
          <w:lang w:val="en-US" w:eastAsia="zh-CN"/>
        </w:rPr>
      </w:pPr>
    </w:p>
    <w:p w14:paraId="799F2C84">
      <w:pPr>
        <w:widowControl w:val="0"/>
        <w:numPr>
          <w:ilvl w:val="0"/>
          <w:numId w:val="0"/>
        </w:numPr>
        <w:spacing w:line="240" w:lineRule="auto"/>
        <w:jc w:val="center"/>
        <w:outlineLvl w:val="1"/>
        <w:rPr>
          <w:rFonts w:hint="eastAsia" w:ascii="仿宋" w:hAnsi="仿宋" w:eastAsia="仿宋" w:cs="仿宋_GB2312"/>
          <w:b/>
          <w:bCs/>
          <w:sz w:val="28"/>
          <w:highlight w:val="none"/>
          <w:lang w:val="en-US" w:eastAsia="zh-CN"/>
        </w:rPr>
      </w:pPr>
    </w:p>
    <w:p w14:paraId="5C2B1327">
      <w:pPr>
        <w:widowControl w:val="0"/>
        <w:numPr>
          <w:ilvl w:val="0"/>
          <w:numId w:val="0"/>
        </w:numPr>
        <w:spacing w:line="240" w:lineRule="auto"/>
        <w:jc w:val="center"/>
        <w:outlineLvl w:val="1"/>
        <w:rPr>
          <w:rFonts w:hint="eastAsia" w:ascii="仿宋" w:hAnsi="仿宋" w:eastAsia="仿宋" w:cs="仿宋_GB2312"/>
          <w:b/>
          <w:bCs/>
          <w:sz w:val="28"/>
          <w:highlight w:val="none"/>
          <w:lang w:val="en-US" w:eastAsia="zh-CN"/>
        </w:rPr>
      </w:pPr>
    </w:p>
    <w:p w14:paraId="7E152ACD">
      <w:pPr>
        <w:widowControl w:val="0"/>
        <w:numPr>
          <w:ilvl w:val="0"/>
          <w:numId w:val="0"/>
        </w:numPr>
        <w:spacing w:line="240" w:lineRule="auto"/>
        <w:jc w:val="center"/>
        <w:outlineLvl w:val="1"/>
        <w:rPr>
          <w:rFonts w:hint="eastAsia" w:ascii="仿宋" w:hAnsi="仿宋" w:eastAsia="仿宋" w:cs="仿宋_GB2312"/>
          <w:b/>
          <w:bCs/>
          <w:sz w:val="28"/>
          <w:highlight w:val="none"/>
          <w:lang w:val="en-US" w:eastAsia="zh-CN"/>
        </w:rPr>
      </w:pPr>
    </w:p>
    <w:p w14:paraId="2CB2ECD1">
      <w:pPr>
        <w:widowControl w:val="0"/>
        <w:numPr>
          <w:ilvl w:val="0"/>
          <w:numId w:val="0"/>
        </w:numPr>
        <w:spacing w:line="240" w:lineRule="auto"/>
        <w:jc w:val="center"/>
        <w:outlineLvl w:val="1"/>
        <w:rPr>
          <w:rFonts w:hint="eastAsia" w:ascii="仿宋" w:hAnsi="仿宋" w:eastAsia="仿宋" w:cs="仿宋_GB2312"/>
          <w:b/>
          <w:bCs/>
          <w:sz w:val="28"/>
          <w:highlight w:val="none"/>
          <w:lang w:val="en-US" w:eastAsia="zh-CN"/>
        </w:rPr>
      </w:pPr>
    </w:p>
    <w:p w14:paraId="7729CB89">
      <w:pPr>
        <w:widowControl w:val="0"/>
        <w:numPr>
          <w:ilvl w:val="0"/>
          <w:numId w:val="0"/>
        </w:numPr>
        <w:spacing w:line="240" w:lineRule="auto"/>
        <w:jc w:val="center"/>
        <w:outlineLvl w:val="1"/>
        <w:rPr>
          <w:rFonts w:hint="eastAsia" w:ascii="仿宋" w:hAnsi="仿宋" w:eastAsia="仿宋" w:cs="仿宋_GB2312"/>
          <w:b/>
          <w:bCs/>
          <w:sz w:val="28"/>
          <w:highlight w:val="none"/>
          <w:lang w:val="en-US" w:eastAsia="zh-CN"/>
        </w:rPr>
      </w:pPr>
    </w:p>
    <w:p w14:paraId="1D874CD2">
      <w:pPr>
        <w:widowControl w:val="0"/>
        <w:numPr>
          <w:ilvl w:val="0"/>
          <w:numId w:val="0"/>
        </w:numPr>
        <w:spacing w:line="240" w:lineRule="auto"/>
        <w:jc w:val="center"/>
        <w:outlineLvl w:val="1"/>
        <w:rPr>
          <w:rFonts w:hint="eastAsia" w:ascii="仿宋" w:hAnsi="仿宋" w:eastAsia="仿宋" w:cs="仿宋_GB2312"/>
          <w:b/>
          <w:bCs/>
          <w:sz w:val="28"/>
          <w:highlight w:val="none"/>
          <w:lang w:val="en-US" w:eastAsia="zh-CN"/>
        </w:rPr>
      </w:pPr>
    </w:p>
    <w:p w14:paraId="40D29818">
      <w:pPr>
        <w:widowControl w:val="0"/>
        <w:numPr>
          <w:ilvl w:val="0"/>
          <w:numId w:val="0"/>
        </w:numPr>
        <w:spacing w:line="240" w:lineRule="auto"/>
        <w:jc w:val="center"/>
        <w:outlineLvl w:val="1"/>
        <w:rPr>
          <w:rFonts w:hint="eastAsia" w:ascii="仿宋" w:hAnsi="仿宋" w:eastAsia="仿宋" w:cs="仿宋_GB2312"/>
          <w:b/>
          <w:bCs/>
          <w:sz w:val="28"/>
          <w:highlight w:val="none"/>
          <w:lang w:val="en-US" w:eastAsia="zh-CN"/>
        </w:rPr>
      </w:pPr>
    </w:p>
    <w:p w14:paraId="37FD14B8">
      <w:pPr>
        <w:widowControl w:val="0"/>
        <w:numPr>
          <w:ilvl w:val="0"/>
          <w:numId w:val="0"/>
        </w:numPr>
        <w:spacing w:line="240" w:lineRule="auto"/>
        <w:jc w:val="center"/>
        <w:outlineLvl w:val="1"/>
        <w:rPr>
          <w:rFonts w:hint="eastAsia" w:ascii="仿宋" w:hAnsi="仿宋" w:eastAsia="仿宋" w:cs="仿宋_GB2312"/>
          <w:b/>
          <w:bCs/>
          <w:sz w:val="28"/>
          <w:highlight w:val="none"/>
          <w:lang w:val="en-US" w:eastAsia="zh-CN"/>
        </w:rPr>
      </w:pPr>
    </w:p>
    <w:p w14:paraId="10600F58">
      <w:pPr>
        <w:widowControl w:val="0"/>
        <w:numPr>
          <w:ilvl w:val="0"/>
          <w:numId w:val="0"/>
        </w:numPr>
        <w:spacing w:line="240" w:lineRule="auto"/>
        <w:jc w:val="center"/>
        <w:outlineLvl w:val="1"/>
        <w:rPr>
          <w:rFonts w:hint="eastAsia" w:ascii="仿宋" w:hAnsi="仿宋" w:eastAsia="仿宋" w:cs="仿宋_GB2312"/>
          <w:b/>
          <w:bCs/>
          <w:sz w:val="28"/>
          <w:highlight w:val="none"/>
          <w:lang w:val="en-US" w:eastAsia="zh-CN"/>
        </w:rPr>
      </w:pPr>
    </w:p>
    <w:p w14:paraId="4C3691DB">
      <w:pPr>
        <w:widowControl w:val="0"/>
        <w:numPr>
          <w:ilvl w:val="0"/>
          <w:numId w:val="0"/>
        </w:numPr>
        <w:spacing w:line="240" w:lineRule="auto"/>
        <w:jc w:val="center"/>
        <w:outlineLvl w:val="1"/>
        <w:rPr>
          <w:rFonts w:hint="eastAsia" w:ascii="仿宋" w:hAnsi="仿宋" w:eastAsia="仿宋" w:cs="仿宋_GB2312"/>
          <w:b/>
          <w:bCs/>
          <w:sz w:val="28"/>
          <w:highlight w:val="none"/>
          <w:lang w:val="en-US" w:eastAsia="zh-CN"/>
        </w:rPr>
      </w:pPr>
    </w:p>
    <w:p w14:paraId="0EF77359">
      <w:pPr>
        <w:widowControl w:val="0"/>
        <w:numPr>
          <w:ilvl w:val="0"/>
          <w:numId w:val="0"/>
        </w:numPr>
        <w:spacing w:line="240" w:lineRule="auto"/>
        <w:jc w:val="center"/>
        <w:outlineLvl w:val="1"/>
        <w:rPr>
          <w:rFonts w:hint="eastAsia" w:ascii="仿宋" w:hAnsi="仿宋" w:eastAsia="仿宋" w:cs="仿宋_GB2312"/>
          <w:b/>
          <w:bCs/>
          <w:sz w:val="28"/>
          <w:highlight w:val="none"/>
          <w:lang w:val="en-US" w:eastAsia="zh-CN"/>
        </w:rPr>
      </w:pPr>
    </w:p>
    <w:p w14:paraId="1E7EDFC4">
      <w:pPr>
        <w:widowControl w:val="0"/>
        <w:numPr>
          <w:ilvl w:val="0"/>
          <w:numId w:val="0"/>
        </w:numPr>
        <w:spacing w:line="240" w:lineRule="auto"/>
        <w:jc w:val="center"/>
        <w:outlineLvl w:val="1"/>
        <w:rPr>
          <w:rFonts w:hint="eastAsia" w:ascii="仿宋" w:hAnsi="仿宋" w:eastAsia="仿宋" w:cs="仿宋_GB2312"/>
          <w:b/>
          <w:bCs/>
          <w:sz w:val="28"/>
          <w:highlight w:val="none"/>
          <w:lang w:val="en-US" w:eastAsia="zh-CN"/>
        </w:rPr>
      </w:pPr>
    </w:p>
    <w:p w14:paraId="34CAA594">
      <w:pPr>
        <w:widowControl w:val="0"/>
        <w:numPr>
          <w:ilvl w:val="0"/>
          <w:numId w:val="0"/>
        </w:numPr>
        <w:spacing w:line="240" w:lineRule="auto"/>
        <w:jc w:val="center"/>
        <w:outlineLvl w:val="1"/>
        <w:rPr>
          <w:rFonts w:hint="eastAsia" w:ascii="仿宋" w:hAnsi="仿宋" w:eastAsia="仿宋" w:cs="仿宋_GB2312"/>
          <w:b/>
          <w:bCs/>
          <w:sz w:val="28"/>
          <w:highlight w:val="none"/>
          <w:lang w:val="en-US" w:eastAsia="zh-CN"/>
        </w:rPr>
      </w:pPr>
    </w:p>
    <w:p w14:paraId="6EE87D02">
      <w:pPr>
        <w:widowControl w:val="0"/>
        <w:numPr>
          <w:ilvl w:val="0"/>
          <w:numId w:val="0"/>
        </w:numPr>
        <w:spacing w:line="240" w:lineRule="auto"/>
        <w:jc w:val="center"/>
        <w:outlineLvl w:val="1"/>
        <w:rPr>
          <w:rFonts w:hint="eastAsia" w:ascii="仿宋" w:hAnsi="仿宋" w:eastAsia="仿宋" w:cs="仿宋_GB2312"/>
          <w:b/>
          <w:bCs/>
          <w:sz w:val="28"/>
          <w:highlight w:val="none"/>
          <w:lang w:val="en-US" w:eastAsia="zh-CN"/>
        </w:rPr>
      </w:pPr>
    </w:p>
    <w:p w14:paraId="76A0DFFD">
      <w:pPr>
        <w:widowControl w:val="0"/>
        <w:numPr>
          <w:ilvl w:val="0"/>
          <w:numId w:val="0"/>
        </w:numPr>
        <w:spacing w:line="240" w:lineRule="auto"/>
        <w:jc w:val="center"/>
        <w:outlineLvl w:val="1"/>
        <w:rPr>
          <w:rFonts w:hint="eastAsia" w:ascii="仿宋" w:hAnsi="仿宋" w:eastAsia="仿宋" w:cs="仿宋_GB2312"/>
          <w:b/>
          <w:bCs/>
          <w:sz w:val="28"/>
          <w:highlight w:val="none"/>
          <w:lang w:val="en-US" w:eastAsia="zh-CN"/>
        </w:rPr>
      </w:pPr>
    </w:p>
    <w:p w14:paraId="4A23E368">
      <w:pPr>
        <w:widowControl w:val="0"/>
        <w:numPr>
          <w:ilvl w:val="0"/>
          <w:numId w:val="0"/>
        </w:numPr>
        <w:spacing w:line="240" w:lineRule="auto"/>
        <w:jc w:val="center"/>
        <w:outlineLvl w:val="1"/>
        <w:rPr>
          <w:rFonts w:hint="eastAsia" w:ascii="仿宋" w:hAnsi="仿宋" w:eastAsia="仿宋" w:cs="仿宋_GB2312"/>
          <w:b/>
          <w:bCs/>
          <w:sz w:val="28"/>
          <w:highlight w:val="none"/>
          <w:lang w:val="en-US" w:eastAsia="zh-CN"/>
        </w:rPr>
      </w:pPr>
    </w:p>
    <w:p w14:paraId="22642640">
      <w:pPr>
        <w:widowControl w:val="0"/>
        <w:numPr>
          <w:ilvl w:val="0"/>
          <w:numId w:val="0"/>
        </w:numPr>
        <w:spacing w:line="240" w:lineRule="auto"/>
        <w:jc w:val="center"/>
        <w:outlineLvl w:val="1"/>
        <w:rPr>
          <w:rFonts w:hint="eastAsia" w:ascii="仿宋" w:hAnsi="仿宋" w:eastAsia="仿宋" w:cs="仿宋_GB2312"/>
          <w:b/>
          <w:bCs/>
          <w:sz w:val="28"/>
          <w:highlight w:val="none"/>
          <w:lang w:val="en-US" w:eastAsia="zh-CN"/>
        </w:rPr>
      </w:pPr>
    </w:p>
    <w:p w14:paraId="66F4D03F">
      <w:pPr>
        <w:widowControl w:val="0"/>
        <w:numPr>
          <w:ilvl w:val="0"/>
          <w:numId w:val="0"/>
        </w:numPr>
        <w:spacing w:line="240" w:lineRule="auto"/>
        <w:jc w:val="center"/>
        <w:outlineLvl w:val="1"/>
        <w:rPr>
          <w:rFonts w:hint="eastAsia" w:ascii="仿宋" w:hAnsi="仿宋" w:eastAsia="仿宋" w:cs="仿宋_GB2312"/>
          <w:b/>
          <w:bCs/>
          <w:sz w:val="28"/>
          <w:highlight w:val="none"/>
          <w:lang w:val="en-US" w:eastAsia="zh-CN"/>
        </w:rPr>
      </w:pPr>
    </w:p>
    <w:p w14:paraId="7C06D2CB">
      <w:pPr>
        <w:widowControl w:val="0"/>
        <w:numPr>
          <w:ilvl w:val="0"/>
          <w:numId w:val="0"/>
        </w:numPr>
        <w:spacing w:line="240" w:lineRule="auto"/>
        <w:jc w:val="center"/>
        <w:outlineLvl w:val="1"/>
        <w:rPr>
          <w:rFonts w:hint="default" w:ascii="仿宋" w:hAnsi="仿宋" w:eastAsia="仿宋" w:cs="仿宋_GB2312"/>
          <w:b/>
          <w:bCs/>
          <w:sz w:val="28"/>
          <w:highlight w:val="none"/>
          <w:lang w:val="en-US" w:eastAsia="zh-CN"/>
        </w:rPr>
      </w:pPr>
      <w:r>
        <w:rPr>
          <w:rFonts w:hint="eastAsia" w:ascii="仿宋" w:hAnsi="仿宋" w:eastAsia="仿宋" w:cs="仿宋_GB2312"/>
          <w:b/>
          <w:bCs/>
          <w:sz w:val="28"/>
          <w:highlight w:val="none"/>
          <w:lang w:val="en-US" w:eastAsia="zh-CN"/>
        </w:rPr>
        <w:t>7-3信用中国查询报告</w:t>
      </w:r>
    </w:p>
    <w:p w14:paraId="3E410434">
      <w:pPr>
        <w:pageBreakBefore w:val="0"/>
        <w:shd w:val="clear"/>
        <w:kinsoku/>
        <w:wordWrap/>
        <w:overflowPunct/>
        <w:autoSpaceDE/>
        <w:autoSpaceDN/>
        <w:bidi w:val="0"/>
        <w:adjustRightInd w:val="0"/>
        <w:snapToGrid w:val="0"/>
        <w:spacing w:before="120" w:beforeLines="50" w:after="100" w:afterAutospacing="1" w:line="360" w:lineRule="auto"/>
        <w:ind w:firstLine="643" w:firstLineChars="200"/>
        <w:jc w:val="center"/>
        <w:textAlignment w:val="auto"/>
        <w:rPr>
          <w:rFonts w:hint="eastAsia" w:ascii="仿宋" w:hAnsi="仿宋" w:eastAsia="仿宋" w:cs="仿宋"/>
          <w:b/>
          <w:bCs/>
          <w:sz w:val="32"/>
          <w:szCs w:val="32"/>
          <w:highlight w:val="none"/>
          <w:lang w:val="en-US" w:eastAsia="zh-CN"/>
        </w:rPr>
      </w:pPr>
    </w:p>
    <w:p w14:paraId="0B7DCD08">
      <w:pPr>
        <w:pageBreakBefore w:val="0"/>
        <w:shd w:val="clear"/>
        <w:kinsoku/>
        <w:wordWrap/>
        <w:overflowPunct/>
        <w:autoSpaceDE/>
        <w:autoSpaceDN/>
        <w:bidi w:val="0"/>
        <w:adjustRightInd w:val="0"/>
        <w:snapToGrid w:val="0"/>
        <w:spacing w:before="120" w:beforeLines="50" w:after="100" w:afterAutospacing="1" w:line="360" w:lineRule="auto"/>
        <w:ind w:firstLine="643" w:firstLineChars="200"/>
        <w:jc w:val="center"/>
        <w:textAlignment w:val="auto"/>
        <w:rPr>
          <w:rFonts w:hint="eastAsia" w:ascii="仿宋" w:hAnsi="仿宋" w:eastAsia="仿宋" w:cs="仿宋"/>
          <w:b/>
          <w:bCs/>
          <w:sz w:val="32"/>
          <w:szCs w:val="32"/>
          <w:highlight w:val="none"/>
          <w:lang w:val="en-US" w:eastAsia="zh-CN"/>
        </w:rPr>
      </w:pPr>
    </w:p>
    <w:p w14:paraId="73EB1774">
      <w:pPr>
        <w:pageBreakBefore w:val="0"/>
        <w:shd w:val="clear"/>
        <w:kinsoku/>
        <w:wordWrap/>
        <w:overflowPunct/>
        <w:autoSpaceDE/>
        <w:autoSpaceDN/>
        <w:bidi w:val="0"/>
        <w:adjustRightInd w:val="0"/>
        <w:snapToGrid w:val="0"/>
        <w:spacing w:before="120" w:beforeLines="50" w:after="100" w:afterAutospacing="1" w:line="360" w:lineRule="auto"/>
        <w:ind w:firstLine="643" w:firstLineChars="200"/>
        <w:jc w:val="center"/>
        <w:textAlignment w:val="auto"/>
        <w:rPr>
          <w:rFonts w:hint="eastAsia" w:ascii="仿宋" w:hAnsi="仿宋" w:eastAsia="仿宋" w:cs="仿宋"/>
          <w:b/>
          <w:bCs/>
          <w:sz w:val="32"/>
          <w:szCs w:val="32"/>
          <w:highlight w:val="none"/>
          <w:lang w:val="en-US" w:eastAsia="zh-CN"/>
        </w:rPr>
      </w:pPr>
    </w:p>
    <w:p w14:paraId="092C17A9">
      <w:pPr>
        <w:pageBreakBefore w:val="0"/>
        <w:shd w:val="clear"/>
        <w:kinsoku/>
        <w:wordWrap/>
        <w:overflowPunct/>
        <w:autoSpaceDE/>
        <w:autoSpaceDN/>
        <w:bidi w:val="0"/>
        <w:adjustRightInd w:val="0"/>
        <w:snapToGrid w:val="0"/>
        <w:spacing w:before="120" w:beforeLines="50" w:after="100" w:afterAutospacing="1" w:line="360" w:lineRule="auto"/>
        <w:ind w:firstLine="643" w:firstLineChars="200"/>
        <w:jc w:val="center"/>
        <w:textAlignment w:val="auto"/>
        <w:rPr>
          <w:rFonts w:hint="eastAsia" w:ascii="仿宋" w:hAnsi="仿宋" w:eastAsia="仿宋" w:cs="仿宋"/>
          <w:b/>
          <w:bCs/>
          <w:sz w:val="32"/>
          <w:szCs w:val="32"/>
          <w:highlight w:val="none"/>
          <w:lang w:val="en-US" w:eastAsia="zh-CN"/>
        </w:rPr>
      </w:pPr>
    </w:p>
    <w:p w14:paraId="080EA450">
      <w:pPr>
        <w:pageBreakBefore w:val="0"/>
        <w:shd w:val="clear"/>
        <w:kinsoku/>
        <w:wordWrap/>
        <w:overflowPunct/>
        <w:autoSpaceDE/>
        <w:autoSpaceDN/>
        <w:bidi w:val="0"/>
        <w:adjustRightInd w:val="0"/>
        <w:snapToGrid w:val="0"/>
        <w:spacing w:before="120" w:beforeLines="50" w:after="100" w:afterAutospacing="1" w:line="360" w:lineRule="auto"/>
        <w:ind w:firstLine="643" w:firstLineChars="200"/>
        <w:jc w:val="center"/>
        <w:textAlignment w:val="auto"/>
        <w:rPr>
          <w:rFonts w:hint="eastAsia" w:ascii="仿宋" w:hAnsi="仿宋" w:eastAsia="仿宋" w:cs="仿宋"/>
          <w:b/>
          <w:bCs/>
          <w:sz w:val="32"/>
          <w:szCs w:val="32"/>
          <w:highlight w:val="none"/>
          <w:lang w:val="en-US" w:eastAsia="zh-CN"/>
        </w:rPr>
      </w:pPr>
    </w:p>
    <w:p w14:paraId="7C6CC220">
      <w:pPr>
        <w:pageBreakBefore w:val="0"/>
        <w:shd w:val="clear"/>
        <w:kinsoku/>
        <w:wordWrap/>
        <w:overflowPunct/>
        <w:autoSpaceDE/>
        <w:autoSpaceDN/>
        <w:bidi w:val="0"/>
        <w:adjustRightInd w:val="0"/>
        <w:snapToGrid w:val="0"/>
        <w:spacing w:before="120" w:beforeLines="50" w:after="100" w:afterAutospacing="1" w:line="360" w:lineRule="auto"/>
        <w:ind w:firstLine="643" w:firstLineChars="200"/>
        <w:jc w:val="center"/>
        <w:textAlignment w:val="auto"/>
        <w:rPr>
          <w:rFonts w:hint="eastAsia" w:ascii="仿宋" w:hAnsi="仿宋" w:eastAsia="仿宋" w:cs="仿宋"/>
          <w:b/>
          <w:bCs/>
          <w:sz w:val="32"/>
          <w:szCs w:val="32"/>
          <w:highlight w:val="none"/>
          <w:lang w:val="en-US" w:eastAsia="zh-CN"/>
        </w:rPr>
      </w:pPr>
    </w:p>
    <w:p w14:paraId="26B52259">
      <w:pPr>
        <w:pageBreakBefore w:val="0"/>
        <w:shd w:val="clear"/>
        <w:kinsoku/>
        <w:wordWrap/>
        <w:overflowPunct/>
        <w:autoSpaceDE/>
        <w:autoSpaceDN/>
        <w:bidi w:val="0"/>
        <w:adjustRightInd w:val="0"/>
        <w:snapToGrid w:val="0"/>
        <w:spacing w:before="120" w:beforeLines="50" w:after="100" w:afterAutospacing="1" w:line="360" w:lineRule="auto"/>
        <w:ind w:firstLine="643" w:firstLineChars="200"/>
        <w:jc w:val="center"/>
        <w:textAlignment w:val="auto"/>
        <w:rPr>
          <w:rFonts w:hint="eastAsia" w:ascii="仿宋" w:hAnsi="仿宋" w:eastAsia="仿宋" w:cs="仿宋"/>
          <w:b/>
          <w:bCs/>
          <w:sz w:val="32"/>
          <w:szCs w:val="32"/>
          <w:highlight w:val="none"/>
          <w:lang w:val="en-US" w:eastAsia="zh-CN"/>
        </w:rPr>
      </w:pPr>
    </w:p>
    <w:p w14:paraId="238EEE46">
      <w:pPr>
        <w:pageBreakBefore w:val="0"/>
        <w:shd w:val="clear"/>
        <w:kinsoku/>
        <w:wordWrap/>
        <w:overflowPunct/>
        <w:autoSpaceDE/>
        <w:autoSpaceDN/>
        <w:bidi w:val="0"/>
        <w:adjustRightInd w:val="0"/>
        <w:snapToGrid w:val="0"/>
        <w:spacing w:before="120" w:beforeLines="50" w:after="100" w:afterAutospacing="1" w:line="360" w:lineRule="auto"/>
        <w:ind w:firstLine="643" w:firstLineChars="200"/>
        <w:jc w:val="center"/>
        <w:textAlignment w:val="auto"/>
        <w:rPr>
          <w:rFonts w:hint="eastAsia" w:ascii="仿宋" w:hAnsi="仿宋" w:eastAsia="仿宋" w:cs="仿宋"/>
          <w:b/>
          <w:bCs/>
          <w:sz w:val="32"/>
          <w:szCs w:val="32"/>
          <w:highlight w:val="none"/>
          <w:lang w:val="en-US" w:eastAsia="zh-CN"/>
        </w:rPr>
      </w:pPr>
    </w:p>
    <w:p w14:paraId="6767B35A">
      <w:pPr>
        <w:pageBreakBefore w:val="0"/>
        <w:shd w:val="clear"/>
        <w:kinsoku/>
        <w:wordWrap/>
        <w:overflowPunct/>
        <w:autoSpaceDE/>
        <w:autoSpaceDN/>
        <w:bidi w:val="0"/>
        <w:adjustRightInd w:val="0"/>
        <w:snapToGrid w:val="0"/>
        <w:spacing w:before="120" w:beforeLines="50" w:after="100" w:afterAutospacing="1" w:line="360" w:lineRule="auto"/>
        <w:ind w:firstLine="643" w:firstLineChars="200"/>
        <w:jc w:val="center"/>
        <w:textAlignment w:val="auto"/>
        <w:rPr>
          <w:rFonts w:hint="eastAsia" w:ascii="仿宋" w:hAnsi="仿宋" w:eastAsia="仿宋" w:cs="仿宋"/>
          <w:b/>
          <w:bCs/>
          <w:sz w:val="32"/>
          <w:szCs w:val="32"/>
          <w:highlight w:val="none"/>
          <w:lang w:val="en-US" w:eastAsia="zh-CN"/>
        </w:rPr>
      </w:pPr>
    </w:p>
    <w:p w14:paraId="3DA40A34">
      <w:pPr>
        <w:pageBreakBefore w:val="0"/>
        <w:shd w:val="clear"/>
        <w:kinsoku/>
        <w:wordWrap/>
        <w:overflowPunct/>
        <w:autoSpaceDE/>
        <w:autoSpaceDN/>
        <w:bidi w:val="0"/>
        <w:adjustRightInd w:val="0"/>
        <w:snapToGrid w:val="0"/>
        <w:spacing w:before="120" w:beforeLines="50" w:after="100" w:afterAutospacing="1" w:line="360" w:lineRule="auto"/>
        <w:ind w:firstLine="643" w:firstLineChars="200"/>
        <w:jc w:val="center"/>
        <w:textAlignment w:val="auto"/>
        <w:rPr>
          <w:rFonts w:hint="eastAsia" w:ascii="仿宋" w:hAnsi="仿宋" w:eastAsia="仿宋" w:cs="仿宋"/>
          <w:b/>
          <w:bCs/>
          <w:sz w:val="32"/>
          <w:szCs w:val="32"/>
          <w:highlight w:val="none"/>
          <w:lang w:val="en-US" w:eastAsia="zh-CN"/>
        </w:rPr>
      </w:pPr>
    </w:p>
    <w:p w14:paraId="73A8C73D">
      <w:pPr>
        <w:pageBreakBefore w:val="0"/>
        <w:shd w:val="clear"/>
        <w:kinsoku/>
        <w:wordWrap/>
        <w:overflowPunct/>
        <w:autoSpaceDE/>
        <w:autoSpaceDN/>
        <w:bidi w:val="0"/>
        <w:adjustRightInd w:val="0"/>
        <w:snapToGrid w:val="0"/>
        <w:spacing w:before="120" w:beforeLines="50" w:after="100" w:afterAutospacing="1" w:line="360" w:lineRule="auto"/>
        <w:ind w:firstLine="643" w:firstLineChars="200"/>
        <w:jc w:val="center"/>
        <w:textAlignment w:val="auto"/>
        <w:rPr>
          <w:rFonts w:hint="eastAsia" w:ascii="仿宋" w:hAnsi="仿宋" w:eastAsia="仿宋" w:cs="仿宋"/>
          <w:b/>
          <w:bCs/>
          <w:sz w:val="32"/>
          <w:szCs w:val="32"/>
          <w:highlight w:val="none"/>
          <w:lang w:val="en-US" w:eastAsia="zh-CN"/>
        </w:rPr>
      </w:pPr>
    </w:p>
    <w:p w14:paraId="2E85CD38">
      <w:pPr>
        <w:pageBreakBefore w:val="0"/>
        <w:shd w:val="clear"/>
        <w:kinsoku/>
        <w:wordWrap/>
        <w:overflowPunct/>
        <w:autoSpaceDE/>
        <w:autoSpaceDN/>
        <w:bidi w:val="0"/>
        <w:adjustRightInd w:val="0"/>
        <w:snapToGrid w:val="0"/>
        <w:spacing w:before="120" w:beforeLines="50" w:after="100" w:afterAutospacing="1" w:line="360" w:lineRule="auto"/>
        <w:ind w:firstLine="643" w:firstLineChars="200"/>
        <w:jc w:val="center"/>
        <w:textAlignment w:val="auto"/>
        <w:rPr>
          <w:rFonts w:hint="eastAsia" w:ascii="仿宋" w:hAnsi="仿宋" w:eastAsia="仿宋" w:cs="仿宋"/>
          <w:b/>
          <w:bCs/>
          <w:sz w:val="32"/>
          <w:szCs w:val="32"/>
          <w:highlight w:val="none"/>
          <w:lang w:val="en-US" w:eastAsia="zh-CN"/>
        </w:rPr>
      </w:pPr>
    </w:p>
    <w:p w14:paraId="52E49AC9">
      <w:pPr>
        <w:pageBreakBefore w:val="0"/>
        <w:shd w:val="clear"/>
        <w:kinsoku/>
        <w:wordWrap/>
        <w:overflowPunct/>
        <w:autoSpaceDE/>
        <w:autoSpaceDN/>
        <w:bidi w:val="0"/>
        <w:adjustRightInd w:val="0"/>
        <w:snapToGrid w:val="0"/>
        <w:spacing w:before="120" w:beforeLines="50" w:after="100" w:afterAutospacing="1" w:line="360" w:lineRule="auto"/>
        <w:ind w:firstLine="643" w:firstLineChars="200"/>
        <w:jc w:val="center"/>
        <w:textAlignment w:val="auto"/>
        <w:rPr>
          <w:rFonts w:hint="eastAsia" w:ascii="仿宋" w:hAnsi="仿宋" w:eastAsia="仿宋" w:cs="仿宋"/>
          <w:b/>
          <w:bCs/>
          <w:sz w:val="32"/>
          <w:szCs w:val="32"/>
          <w:highlight w:val="none"/>
          <w:lang w:val="en-US" w:eastAsia="zh-CN"/>
        </w:rPr>
      </w:pPr>
    </w:p>
    <w:p w14:paraId="5EFF65AE">
      <w:pPr>
        <w:pageBreakBefore w:val="0"/>
        <w:shd w:val="clear"/>
        <w:kinsoku/>
        <w:wordWrap/>
        <w:overflowPunct/>
        <w:autoSpaceDE/>
        <w:autoSpaceDN/>
        <w:bidi w:val="0"/>
        <w:adjustRightInd w:val="0"/>
        <w:snapToGrid w:val="0"/>
        <w:spacing w:before="120" w:beforeLines="50" w:after="100" w:afterAutospacing="1" w:line="360" w:lineRule="auto"/>
        <w:ind w:firstLine="643" w:firstLineChars="200"/>
        <w:jc w:val="center"/>
        <w:textAlignment w:val="auto"/>
        <w:rPr>
          <w:rFonts w:hint="eastAsia" w:ascii="仿宋" w:hAnsi="仿宋" w:eastAsia="仿宋" w:cs="仿宋"/>
          <w:b/>
          <w:bCs/>
          <w:sz w:val="32"/>
          <w:szCs w:val="32"/>
          <w:highlight w:val="none"/>
          <w:lang w:val="en-US" w:eastAsia="zh-CN"/>
        </w:rPr>
      </w:pPr>
    </w:p>
    <w:p w14:paraId="39D477D3">
      <w:pPr>
        <w:pageBreakBefore w:val="0"/>
        <w:shd w:val="clear"/>
        <w:kinsoku/>
        <w:wordWrap/>
        <w:overflowPunct/>
        <w:autoSpaceDE/>
        <w:autoSpaceDN/>
        <w:bidi w:val="0"/>
        <w:adjustRightInd w:val="0"/>
        <w:snapToGrid w:val="0"/>
        <w:spacing w:before="120" w:beforeLines="50" w:after="100" w:afterAutospacing="1" w:line="360" w:lineRule="auto"/>
        <w:jc w:val="both"/>
        <w:textAlignment w:val="auto"/>
        <w:rPr>
          <w:rFonts w:hint="eastAsia" w:ascii="仿宋" w:hAnsi="仿宋" w:eastAsia="仿宋" w:cs="仿宋"/>
          <w:b/>
          <w:bCs/>
          <w:sz w:val="32"/>
          <w:szCs w:val="32"/>
          <w:highlight w:val="none"/>
          <w:lang w:val="en-US" w:eastAsia="zh-CN"/>
        </w:rPr>
      </w:pPr>
    </w:p>
    <w:p w14:paraId="2C62B469">
      <w:pPr>
        <w:pageBreakBefore w:val="0"/>
        <w:shd w:val="clear"/>
        <w:kinsoku/>
        <w:wordWrap/>
        <w:overflowPunct/>
        <w:autoSpaceDE/>
        <w:autoSpaceDN/>
        <w:bidi w:val="0"/>
        <w:adjustRightInd w:val="0"/>
        <w:snapToGrid w:val="0"/>
        <w:spacing w:before="120" w:beforeLines="50" w:after="100" w:afterAutospacing="1" w:line="360" w:lineRule="auto"/>
        <w:ind w:firstLine="643" w:firstLineChars="200"/>
        <w:jc w:val="center"/>
        <w:textAlignment w:val="auto"/>
        <w:rPr>
          <w:rFonts w:hint="eastAsia" w:ascii="仿宋" w:hAnsi="仿宋" w:eastAsia="仿宋" w:cs="仿宋"/>
          <w:b/>
          <w:bCs/>
          <w:sz w:val="32"/>
          <w:szCs w:val="32"/>
          <w:highlight w:val="none"/>
        </w:rPr>
      </w:pPr>
      <w:r>
        <w:rPr>
          <w:rFonts w:hint="eastAsia" w:ascii="仿宋" w:hAnsi="仿宋" w:eastAsia="仿宋" w:cs="仿宋"/>
          <w:b/>
          <w:bCs/>
          <w:sz w:val="32"/>
          <w:szCs w:val="32"/>
          <w:highlight w:val="none"/>
          <w:lang w:val="en-US" w:eastAsia="zh-CN"/>
        </w:rPr>
        <w:t>8.</w:t>
      </w:r>
      <w:r>
        <w:rPr>
          <w:rFonts w:hint="eastAsia" w:ascii="仿宋" w:hAnsi="仿宋" w:eastAsia="仿宋" w:cs="仿宋"/>
          <w:b/>
          <w:bCs/>
          <w:sz w:val="32"/>
          <w:szCs w:val="32"/>
          <w:highlight w:val="none"/>
        </w:rPr>
        <w:t>开标一览表</w:t>
      </w:r>
    </w:p>
    <w:tbl>
      <w:tblPr>
        <w:tblStyle w:val="17"/>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7760"/>
      </w:tblGrid>
      <w:tr w14:paraId="1502F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26" w:type="dxa"/>
            <w:vAlign w:val="center"/>
          </w:tcPr>
          <w:p w14:paraId="4E4E5251">
            <w:pPr>
              <w:pageBreakBefore w:val="0"/>
              <w:shd w:val="clear"/>
              <w:kinsoku/>
              <w:wordWrap/>
              <w:overflowPunct/>
              <w:autoSpaceDE/>
              <w:autoSpaceDN/>
              <w:bidi w:val="0"/>
              <w:adjustRightInd w:val="0"/>
              <w:snapToGrid w:val="0"/>
              <w:spacing w:line="360" w:lineRule="auto"/>
              <w:ind w:firstLine="420" w:firstLineChars="200"/>
              <w:jc w:val="center"/>
              <w:textAlignment w:val="auto"/>
              <w:rPr>
                <w:rFonts w:ascii="黑体" w:hAnsi="黑体" w:eastAsia="黑体"/>
                <w:sz w:val="21"/>
                <w:szCs w:val="21"/>
                <w:highlight w:val="none"/>
              </w:rPr>
            </w:pPr>
            <w:r>
              <w:rPr>
                <w:rFonts w:hint="eastAsia" w:ascii="黑体" w:hAnsi="黑体" w:eastAsia="黑体"/>
                <w:sz w:val="21"/>
                <w:szCs w:val="21"/>
                <w:highlight w:val="none"/>
              </w:rPr>
              <w:t>项目名称</w:t>
            </w:r>
          </w:p>
        </w:tc>
        <w:tc>
          <w:tcPr>
            <w:tcW w:w="7760" w:type="dxa"/>
            <w:vAlign w:val="center"/>
          </w:tcPr>
          <w:p w14:paraId="7B0ADF0F">
            <w:pPr>
              <w:pageBreakBefore w:val="0"/>
              <w:shd w:val="clear"/>
              <w:kinsoku/>
              <w:wordWrap/>
              <w:overflowPunct/>
              <w:autoSpaceDE/>
              <w:autoSpaceDN/>
              <w:bidi w:val="0"/>
              <w:adjustRightInd w:val="0"/>
              <w:snapToGrid w:val="0"/>
              <w:spacing w:line="360" w:lineRule="auto"/>
              <w:ind w:firstLine="404" w:firstLineChars="200"/>
              <w:jc w:val="center"/>
              <w:textAlignment w:val="auto"/>
              <w:rPr>
                <w:rFonts w:ascii="宋体" w:hAnsi="宋体"/>
                <w:spacing w:val="-4"/>
                <w:sz w:val="21"/>
                <w:szCs w:val="21"/>
                <w:highlight w:val="none"/>
              </w:rPr>
            </w:pPr>
          </w:p>
        </w:tc>
      </w:tr>
      <w:tr w14:paraId="48624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26" w:type="dxa"/>
            <w:vAlign w:val="center"/>
          </w:tcPr>
          <w:p w14:paraId="33DDE9A2">
            <w:pPr>
              <w:pageBreakBefore w:val="0"/>
              <w:shd w:val="clear"/>
              <w:kinsoku/>
              <w:wordWrap/>
              <w:overflowPunct/>
              <w:autoSpaceDE/>
              <w:autoSpaceDN/>
              <w:bidi w:val="0"/>
              <w:adjustRightInd w:val="0"/>
              <w:snapToGrid w:val="0"/>
              <w:spacing w:line="360" w:lineRule="auto"/>
              <w:ind w:firstLine="420" w:firstLineChars="200"/>
              <w:jc w:val="center"/>
              <w:textAlignment w:val="auto"/>
              <w:rPr>
                <w:rFonts w:ascii="黑体" w:hAnsi="黑体" w:eastAsia="黑体"/>
                <w:sz w:val="21"/>
                <w:szCs w:val="21"/>
                <w:highlight w:val="none"/>
              </w:rPr>
            </w:pPr>
            <w:r>
              <w:rPr>
                <w:rFonts w:hint="eastAsia" w:ascii="黑体" w:hAnsi="黑体" w:eastAsia="黑体"/>
                <w:sz w:val="21"/>
                <w:szCs w:val="21"/>
                <w:highlight w:val="none"/>
              </w:rPr>
              <w:t>项目编号</w:t>
            </w:r>
          </w:p>
        </w:tc>
        <w:tc>
          <w:tcPr>
            <w:tcW w:w="7760" w:type="dxa"/>
            <w:vAlign w:val="center"/>
          </w:tcPr>
          <w:p w14:paraId="0A62E173">
            <w:pPr>
              <w:pageBreakBefore w:val="0"/>
              <w:shd w:val="clear"/>
              <w:kinsoku/>
              <w:wordWrap/>
              <w:overflowPunct/>
              <w:autoSpaceDE/>
              <w:autoSpaceDN/>
              <w:bidi w:val="0"/>
              <w:adjustRightInd w:val="0"/>
              <w:snapToGrid w:val="0"/>
              <w:spacing w:line="360" w:lineRule="auto"/>
              <w:ind w:firstLine="420" w:firstLineChars="200"/>
              <w:jc w:val="center"/>
              <w:textAlignment w:val="auto"/>
              <w:rPr>
                <w:rFonts w:hint="eastAsia" w:ascii="宋体" w:hAnsi="宋体" w:eastAsia="宋体"/>
                <w:sz w:val="21"/>
                <w:szCs w:val="21"/>
                <w:highlight w:val="none"/>
                <w:lang w:val="en-US" w:eastAsia="zh-CN"/>
              </w:rPr>
            </w:pPr>
            <w:r>
              <w:rPr>
                <w:rFonts w:hint="eastAsia" w:ascii="宋体" w:hAnsi="宋体"/>
                <w:sz w:val="21"/>
                <w:szCs w:val="21"/>
                <w:highlight w:val="none"/>
                <w:lang w:val="en-US" w:eastAsia="zh-CN"/>
              </w:rPr>
              <w:t xml:space="preserve"> </w:t>
            </w:r>
          </w:p>
        </w:tc>
      </w:tr>
      <w:tr w14:paraId="4977D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26" w:type="dxa"/>
            <w:vMerge w:val="restart"/>
            <w:vAlign w:val="center"/>
          </w:tcPr>
          <w:p w14:paraId="010949B9">
            <w:pPr>
              <w:pageBreakBefore w:val="0"/>
              <w:shd w:val="clear"/>
              <w:kinsoku/>
              <w:wordWrap/>
              <w:overflowPunct/>
              <w:autoSpaceDE/>
              <w:autoSpaceDN/>
              <w:bidi w:val="0"/>
              <w:adjustRightInd w:val="0"/>
              <w:snapToGrid w:val="0"/>
              <w:spacing w:line="360" w:lineRule="auto"/>
              <w:ind w:firstLine="420" w:firstLineChars="200"/>
              <w:jc w:val="center"/>
              <w:textAlignment w:val="auto"/>
              <w:rPr>
                <w:rFonts w:hint="eastAsia" w:ascii="黑体" w:hAnsi="黑体" w:eastAsia="黑体"/>
                <w:sz w:val="21"/>
                <w:szCs w:val="21"/>
                <w:highlight w:val="none"/>
                <w:lang w:eastAsia="zh-CN"/>
              </w:rPr>
            </w:pPr>
            <w:r>
              <w:rPr>
                <w:rFonts w:hint="eastAsia" w:ascii="黑体" w:hAnsi="黑体" w:eastAsia="黑体"/>
                <w:sz w:val="21"/>
                <w:szCs w:val="21"/>
                <w:highlight w:val="none"/>
              </w:rPr>
              <w:t>投标总价</w:t>
            </w:r>
            <w:r>
              <w:rPr>
                <w:rFonts w:hint="eastAsia" w:ascii="黑体" w:hAnsi="黑体" w:eastAsia="黑体"/>
                <w:sz w:val="21"/>
                <w:szCs w:val="21"/>
                <w:highlight w:val="none"/>
                <w:lang w:eastAsia="zh-CN"/>
              </w:rPr>
              <w:t>（</w:t>
            </w:r>
            <w:r>
              <w:rPr>
                <w:rFonts w:hint="eastAsia" w:ascii="黑体" w:hAnsi="黑体" w:eastAsia="黑体"/>
                <w:sz w:val="21"/>
                <w:szCs w:val="21"/>
                <w:highlight w:val="none"/>
                <w:lang w:val="en-US" w:eastAsia="zh-CN"/>
              </w:rPr>
              <w:t>标注税率</w:t>
            </w:r>
            <w:r>
              <w:rPr>
                <w:rFonts w:hint="eastAsia" w:ascii="黑体" w:hAnsi="黑体" w:eastAsia="黑体"/>
                <w:sz w:val="21"/>
                <w:szCs w:val="21"/>
                <w:highlight w:val="none"/>
                <w:lang w:eastAsia="zh-CN"/>
              </w:rPr>
              <w:t>）</w:t>
            </w:r>
          </w:p>
        </w:tc>
        <w:tc>
          <w:tcPr>
            <w:tcW w:w="7760" w:type="dxa"/>
            <w:vAlign w:val="center"/>
          </w:tcPr>
          <w:p w14:paraId="73548A55">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p>
        </w:tc>
      </w:tr>
      <w:tr w14:paraId="4C614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26" w:type="dxa"/>
            <w:vMerge w:val="continue"/>
            <w:vAlign w:val="center"/>
          </w:tcPr>
          <w:p w14:paraId="60A8C19A">
            <w:pPr>
              <w:pageBreakBefore w:val="0"/>
              <w:shd w:val="clear"/>
              <w:kinsoku/>
              <w:wordWrap/>
              <w:overflowPunct/>
              <w:autoSpaceDE/>
              <w:autoSpaceDN/>
              <w:bidi w:val="0"/>
              <w:adjustRightInd w:val="0"/>
              <w:snapToGrid w:val="0"/>
              <w:spacing w:line="360" w:lineRule="auto"/>
              <w:ind w:firstLine="420" w:firstLineChars="200"/>
              <w:jc w:val="center"/>
              <w:textAlignment w:val="auto"/>
              <w:rPr>
                <w:rFonts w:ascii="黑体" w:hAnsi="黑体" w:eastAsia="黑体"/>
                <w:sz w:val="21"/>
                <w:szCs w:val="21"/>
                <w:highlight w:val="none"/>
              </w:rPr>
            </w:pPr>
          </w:p>
        </w:tc>
        <w:tc>
          <w:tcPr>
            <w:tcW w:w="7760" w:type="dxa"/>
            <w:vAlign w:val="center"/>
          </w:tcPr>
          <w:p w14:paraId="4AE45082">
            <w:pPr>
              <w:pageBreakBefore w:val="0"/>
              <w:shd w:val="clear"/>
              <w:kinsoku/>
              <w:wordWrap/>
              <w:overflowPunct/>
              <w:autoSpaceDE/>
              <w:autoSpaceDN/>
              <w:bidi w:val="0"/>
              <w:adjustRightInd w:val="0"/>
              <w:snapToGrid w:val="0"/>
              <w:spacing w:line="360" w:lineRule="auto"/>
              <w:ind w:firstLine="420" w:firstLineChars="200"/>
              <w:jc w:val="left"/>
              <w:textAlignment w:val="auto"/>
              <w:rPr>
                <w:rFonts w:ascii="宋体" w:hAnsi="宋体"/>
                <w:sz w:val="21"/>
                <w:szCs w:val="21"/>
                <w:highlight w:val="none"/>
              </w:rPr>
            </w:pPr>
          </w:p>
        </w:tc>
      </w:tr>
      <w:tr w14:paraId="49234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26" w:type="dxa"/>
            <w:vAlign w:val="center"/>
          </w:tcPr>
          <w:p w14:paraId="25E495E2">
            <w:pPr>
              <w:pageBreakBefore w:val="0"/>
              <w:shd w:val="clear"/>
              <w:kinsoku/>
              <w:wordWrap/>
              <w:overflowPunct/>
              <w:autoSpaceDE/>
              <w:autoSpaceDN/>
              <w:bidi w:val="0"/>
              <w:adjustRightInd w:val="0"/>
              <w:snapToGrid w:val="0"/>
              <w:spacing w:line="360" w:lineRule="auto"/>
              <w:ind w:firstLine="420" w:firstLineChars="200"/>
              <w:jc w:val="center"/>
              <w:textAlignment w:val="auto"/>
              <w:rPr>
                <w:rFonts w:ascii="黑体" w:hAnsi="黑体" w:eastAsia="黑体"/>
                <w:sz w:val="21"/>
                <w:szCs w:val="21"/>
                <w:highlight w:val="none"/>
              </w:rPr>
            </w:pPr>
            <w:r>
              <w:rPr>
                <w:rFonts w:hint="eastAsia" w:ascii="黑体" w:hAnsi="黑体" w:eastAsia="黑体"/>
                <w:sz w:val="21"/>
                <w:szCs w:val="21"/>
                <w:highlight w:val="none"/>
              </w:rPr>
              <w:t>交 货 期</w:t>
            </w:r>
          </w:p>
        </w:tc>
        <w:tc>
          <w:tcPr>
            <w:tcW w:w="7760" w:type="dxa"/>
            <w:vAlign w:val="center"/>
          </w:tcPr>
          <w:p w14:paraId="199870AD">
            <w:pPr>
              <w:pageBreakBefore w:val="0"/>
              <w:shd w:val="clear"/>
              <w:kinsoku/>
              <w:wordWrap/>
              <w:overflowPunct/>
              <w:autoSpaceDE/>
              <w:autoSpaceDN/>
              <w:bidi w:val="0"/>
              <w:adjustRightInd w:val="0"/>
              <w:snapToGrid w:val="0"/>
              <w:spacing w:line="360" w:lineRule="auto"/>
              <w:ind w:firstLine="420" w:firstLineChars="200"/>
              <w:jc w:val="center"/>
              <w:textAlignment w:val="auto"/>
              <w:rPr>
                <w:rFonts w:ascii="宋体" w:hAnsi="宋体"/>
                <w:sz w:val="21"/>
                <w:szCs w:val="21"/>
                <w:highlight w:val="none"/>
                <w:u w:val="single"/>
              </w:rPr>
            </w:pPr>
          </w:p>
        </w:tc>
      </w:tr>
      <w:tr w14:paraId="4C8B8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26" w:type="dxa"/>
            <w:vAlign w:val="center"/>
          </w:tcPr>
          <w:p w14:paraId="667F254A">
            <w:pPr>
              <w:pageBreakBefore w:val="0"/>
              <w:shd w:val="clear"/>
              <w:kinsoku/>
              <w:wordWrap/>
              <w:overflowPunct/>
              <w:autoSpaceDE/>
              <w:autoSpaceDN/>
              <w:bidi w:val="0"/>
              <w:adjustRightInd w:val="0"/>
              <w:snapToGrid w:val="0"/>
              <w:spacing w:line="360" w:lineRule="auto"/>
              <w:ind w:firstLine="420" w:firstLineChars="200"/>
              <w:jc w:val="center"/>
              <w:textAlignment w:val="auto"/>
              <w:rPr>
                <w:rFonts w:ascii="黑体" w:hAnsi="黑体" w:eastAsia="黑体"/>
                <w:sz w:val="21"/>
                <w:szCs w:val="21"/>
                <w:highlight w:val="none"/>
              </w:rPr>
            </w:pPr>
            <w:r>
              <w:rPr>
                <w:rFonts w:hint="eastAsia" w:ascii="黑体" w:hAnsi="黑体" w:eastAsia="黑体"/>
                <w:sz w:val="21"/>
                <w:szCs w:val="21"/>
                <w:highlight w:val="none"/>
              </w:rPr>
              <w:t>质保期</w:t>
            </w:r>
          </w:p>
        </w:tc>
        <w:tc>
          <w:tcPr>
            <w:tcW w:w="7760" w:type="dxa"/>
            <w:vAlign w:val="center"/>
          </w:tcPr>
          <w:p w14:paraId="54919022">
            <w:pPr>
              <w:pageBreakBefore w:val="0"/>
              <w:shd w:val="clear"/>
              <w:kinsoku/>
              <w:wordWrap/>
              <w:overflowPunct/>
              <w:autoSpaceDE/>
              <w:autoSpaceDN/>
              <w:bidi w:val="0"/>
              <w:adjustRightInd w:val="0"/>
              <w:snapToGrid w:val="0"/>
              <w:spacing w:line="360" w:lineRule="auto"/>
              <w:ind w:firstLine="420" w:firstLineChars="200"/>
              <w:jc w:val="center"/>
              <w:textAlignment w:val="auto"/>
              <w:rPr>
                <w:rFonts w:ascii="宋体" w:hAnsi="宋体"/>
                <w:sz w:val="21"/>
                <w:szCs w:val="21"/>
                <w:highlight w:val="none"/>
              </w:rPr>
            </w:pPr>
          </w:p>
        </w:tc>
      </w:tr>
      <w:tr w14:paraId="2C863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26" w:type="dxa"/>
            <w:vAlign w:val="center"/>
          </w:tcPr>
          <w:p w14:paraId="380282A0">
            <w:pPr>
              <w:pageBreakBefore w:val="0"/>
              <w:shd w:val="clear"/>
              <w:kinsoku/>
              <w:wordWrap/>
              <w:overflowPunct/>
              <w:autoSpaceDE/>
              <w:autoSpaceDN/>
              <w:bidi w:val="0"/>
              <w:adjustRightInd w:val="0"/>
              <w:snapToGrid w:val="0"/>
              <w:spacing w:line="360" w:lineRule="auto"/>
              <w:ind w:firstLine="420" w:firstLineChars="200"/>
              <w:jc w:val="center"/>
              <w:textAlignment w:val="auto"/>
              <w:rPr>
                <w:rFonts w:ascii="黑体" w:hAnsi="黑体" w:eastAsia="黑体"/>
                <w:sz w:val="21"/>
                <w:szCs w:val="21"/>
                <w:highlight w:val="none"/>
              </w:rPr>
            </w:pPr>
            <w:r>
              <w:rPr>
                <w:rFonts w:hint="eastAsia" w:ascii="黑体" w:hAnsi="黑体" w:eastAsia="黑体"/>
                <w:sz w:val="21"/>
                <w:szCs w:val="21"/>
                <w:highlight w:val="none"/>
              </w:rPr>
              <w:t>付款方式</w:t>
            </w:r>
          </w:p>
        </w:tc>
        <w:tc>
          <w:tcPr>
            <w:tcW w:w="7760" w:type="dxa"/>
            <w:vAlign w:val="center"/>
          </w:tcPr>
          <w:p w14:paraId="798A9923">
            <w:pPr>
              <w:pageBreakBefore w:val="0"/>
              <w:shd w:val="clear"/>
              <w:kinsoku/>
              <w:wordWrap/>
              <w:overflowPunct/>
              <w:autoSpaceDE/>
              <w:autoSpaceDN/>
              <w:bidi w:val="0"/>
              <w:adjustRightInd w:val="0"/>
              <w:snapToGrid w:val="0"/>
              <w:spacing w:line="360" w:lineRule="auto"/>
              <w:ind w:firstLine="420" w:firstLineChars="200"/>
              <w:jc w:val="center"/>
              <w:textAlignment w:val="auto"/>
              <w:rPr>
                <w:rFonts w:ascii="宋体" w:hAnsi="宋体"/>
                <w:sz w:val="21"/>
                <w:szCs w:val="21"/>
                <w:highlight w:val="none"/>
              </w:rPr>
            </w:pPr>
          </w:p>
        </w:tc>
      </w:tr>
      <w:tr w14:paraId="3CD12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26" w:type="dxa"/>
            <w:vAlign w:val="center"/>
          </w:tcPr>
          <w:p w14:paraId="743A31F0">
            <w:pPr>
              <w:pageBreakBefore w:val="0"/>
              <w:shd w:val="clear"/>
              <w:kinsoku/>
              <w:wordWrap/>
              <w:overflowPunct/>
              <w:autoSpaceDE/>
              <w:autoSpaceDN/>
              <w:bidi w:val="0"/>
              <w:adjustRightInd w:val="0"/>
              <w:snapToGrid w:val="0"/>
              <w:spacing w:line="360" w:lineRule="auto"/>
              <w:ind w:firstLine="420" w:firstLineChars="200"/>
              <w:jc w:val="center"/>
              <w:textAlignment w:val="auto"/>
              <w:rPr>
                <w:rFonts w:hint="default" w:ascii="黑体" w:hAnsi="黑体" w:eastAsia="黑体"/>
                <w:sz w:val="21"/>
                <w:szCs w:val="21"/>
                <w:highlight w:val="none"/>
                <w:lang w:val="en-US" w:eastAsia="zh-CN"/>
              </w:rPr>
            </w:pPr>
            <w:r>
              <w:rPr>
                <w:rFonts w:hint="eastAsia" w:ascii="黑体" w:hAnsi="黑体" w:eastAsia="黑体"/>
                <w:sz w:val="21"/>
                <w:szCs w:val="21"/>
                <w:highlight w:val="none"/>
                <w:lang w:val="en-US" w:eastAsia="zh-CN"/>
              </w:rPr>
              <w:t>商务条件</w:t>
            </w:r>
          </w:p>
        </w:tc>
        <w:tc>
          <w:tcPr>
            <w:tcW w:w="7760" w:type="dxa"/>
            <w:vAlign w:val="center"/>
          </w:tcPr>
          <w:p w14:paraId="1BDDA16D">
            <w:pPr>
              <w:pageBreakBefore w:val="0"/>
              <w:shd w:val="clear"/>
              <w:kinsoku/>
              <w:wordWrap/>
              <w:overflowPunct/>
              <w:autoSpaceDE/>
              <w:autoSpaceDN/>
              <w:bidi w:val="0"/>
              <w:adjustRightInd w:val="0"/>
              <w:snapToGrid w:val="0"/>
              <w:spacing w:line="360" w:lineRule="auto"/>
              <w:ind w:firstLine="420" w:firstLineChars="200"/>
              <w:jc w:val="center"/>
              <w:textAlignment w:val="auto"/>
              <w:rPr>
                <w:rFonts w:ascii="宋体" w:hAnsi="宋体" w:eastAsia="宋体" w:cs="Times New Roman"/>
                <w:kern w:val="2"/>
                <w:sz w:val="21"/>
                <w:szCs w:val="21"/>
                <w:highlight w:val="none"/>
                <w:lang w:val="en-US" w:eastAsia="zh-CN" w:bidi="ar-SA"/>
              </w:rPr>
            </w:pPr>
          </w:p>
        </w:tc>
      </w:tr>
      <w:tr w14:paraId="233B9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26" w:type="dxa"/>
            <w:vAlign w:val="center"/>
          </w:tcPr>
          <w:p w14:paraId="2388BA23">
            <w:pPr>
              <w:pageBreakBefore w:val="0"/>
              <w:shd w:val="clear"/>
              <w:kinsoku/>
              <w:wordWrap/>
              <w:overflowPunct/>
              <w:autoSpaceDE/>
              <w:autoSpaceDN/>
              <w:bidi w:val="0"/>
              <w:adjustRightInd w:val="0"/>
              <w:snapToGrid w:val="0"/>
              <w:spacing w:line="360" w:lineRule="auto"/>
              <w:ind w:firstLine="420" w:firstLineChars="200"/>
              <w:jc w:val="center"/>
              <w:textAlignment w:val="auto"/>
              <w:rPr>
                <w:rFonts w:hint="eastAsia" w:ascii="黑体" w:hAnsi="黑体" w:eastAsia="黑体"/>
                <w:sz w:val="21"/>
                <w:szCs w:val="21"/>
                <w:highlight w:val="none"/>
                <w:lang w:val="en-US" w:eastAsia="zh-CN"/>
              </w:rPr>
            </w:pPr>
            <w:r>
              <w:rPr>
                <w:rFonts w:hint="eastAsia" w:ascii="黑体" w:hAnsi="黑体" w:eastAsia="黑体"/>
                <w:sz w:val="21"/>
                <w:szCs w:val="21"/>
                <w:highlight w:val="none"/>
                <w:lang w:val="en-US" w:eastAsia="zh-CN"/>
              </w:rPr>
              <w:t>技术条件</w:t>
            </w:r>
          </w:p>
        </w:tc>
        <w:tc>
          <w:tcPr>
            <w:tcW w:w="7760" w:type="dxa"/>
            <w:vAlign w:val="center"/>
          </w:tcPr>
          <w:p w14:paraId="5E218196">
            <w:pPr>
              <w:pageBreakBefore w:val="0"/>
              <w:shd w:val="clear"/>
              <w:kinsoku/>
              <w:wordWrap/>
              <w:overflowPunct/>
              <w:autoSpaceDE/>
              <w:autoSpaceDN/>
              <w:bidi w:val="0"/>
              <w:adjustRightInd w:val="0"/>
              <w:snapToGrid w:val="0"/>
              <w:spacing w:line="360" w:lineRule="auto"/>
              <w:ind w:firstLine="420" w:firstLineChars="200"/>
              <w:jc w:val="center"/>
              <w:textAlignment w:val="auto"/>
              <w:rPr>
                <w:rFonts w:ascii="宋体" w:hAnsi="宋体" w:eastAsia="宋体" w:cs="Times New Roman"/>
                <w:kern w:val="2"/>
                <w:sz w:val="21"/>
                <w:szCs w:val="21"/>
                <w:highlight w:val="none"/>
                <w:lang w:val="en-US" w:eastAsia="zh-CN" w:bidi="ar-SA"/>
              </w:rPr>
            </w:pPr>
          </w:p>
        </w:tc>
      </w:tr>
    </w:tbl>
    <w:p w14:paraId="39CE88EA">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p>
    <w:p w14:paraId="10524373">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p>
    <w:p w14:paraId="757446FE">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报价供应商：</w:t>
      </w:r>
      <w:r>
        <w:rPr>
          <w:rFonts w:hint="eastAsia" w:ascii="宋体" w:hAnsi="宋体"/>
          <w:sz w:val="21"/>
          <w:szCs w:val="21"/>
          <w:highlight w:val="none"/>
          <w:u w:val="single"/>
        </w:rPr>
        <w:t xml:space="preserve">                    </w:t>
      </w:r>
      <w:r>
        <w:rPr>
          <w:rFonts w:hint="eastAsia" w:ascii="宋体" w:hAnsi="宋体"/>
          <w:sz w:val="21"/>
          <w:szCs w:val="21"/>
          <w:highlight w:val="none"/>
        </w:rPr>
        <w:t>（盖报价供应商单位公章）</w:t>
      </w:r>
    </w:p>
    <w:p w14:paraId="1E5F4356">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p>
    <w:p w14:paraId="1A4BA798">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法定代表人或其委托代理人：</w:t>
      </w:r>
      <w:r>
        <w:rPr>
          <w:rFonts w:hint="eastAsia" w:ascii="宋体" w:hAnsi="宋体"/>
          <w:sz w:val="21"/>
          <w:szCs w:val="21"/>
          <w:highlight w:val="none"/>
          <w:u w:val="single"/>
        </w:rPr>
        <w:t xml:space="preserve">        </w:t>
      </w:r>
      <w:r>
        <w:rPr>
          <w:rFonts w:hint="eastAsia" w:ascii="宋体" w:hAnsi="宋体"/>
          <w:sz w:val="21"/>
          <w:szCs w:val="21"/>
          <w:highlight w:val="none"/>
        </w:rPr>
        <w:t>（签字或印章）</w:t>
      </w:r>
    </w:p>
    <w:p w14:paraId="17FFF7A3">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p>
    <w:p w14:paraId="642B6FC6">
      <w:pPr>
        <w:pageBreakBefore w:val="0"/>
        <w:shd w:val="clear"/>
        <w:kinsoku/>
        <w:wordWrap/>
        <w:overflowPunct/>
        <w:autoSpaceDE/>
        <w:autoSpaceDN/>
        <w:bidi w:val="0"/>
        <w:adjustRightInd w:val="0"/>
        <w:snapToGrid w:val="0"/>
        <w:spacing w:line="360" w:lineRule="auto"/>
        <w:ind w:firstLine="420" w:firstLineChars="200"/>
        <w:textAlignment w:val="auto"/>
        <w:rPr>
          <w:rFonts w:ascii="宋体" w:hAnsi="宋体"/>
          <w:sz w:val="21"/>
          <w:szCs w:val="21"/>
          <w:highlight w:val="none"/>
        </w:rPr>
      </w:pPr>
      <w:r>
        <w:rPr>
          <w:rFonts w:hint="eastAsia" w:ascii="宋体" w:hAnsi="宋体"/>
          <w:sz w:val="21"/>
          <w:szCs w:val="21"/>
          <w:highlight w:val="none"/>
        </w:rPr>
        <w:t>日  期：</w:t>
      </w:r>
      <w:r>
        <w:rPr>
          <w:rFonts w:hint="eastAsia" w:ascii="宋体" w:hAnsi="宋体"/>
          <w:sz w:val="21"/>
          <w:szCs w:val="21"/>
          <w:highlight w:val="none"/>
          <w:u w:val="single"/>
        </w:rPr>
        <w:t xml:space="preserve">      </w:t>
      </w:r>
      <w:r>
        <w:rPr>
          <w:rFonts w:hint="eastAsia" w:ascii="宋体" w:hAnsi="宋体"/>
          <w:sz w:val="21"/>
          <w:szCs w:val="21"/>
          <w:highlight w:val="none"/>
        </w:rPr>
        <w:t>年</w:t>
      </w:r>
      <w:r>
        <w:rPr>
          <w:rFonts w:hint="eastAsia" w:ascii="宋体" w:hAnsi="宋体"/>
          <w:sz w:val="21"/>
          <w:szCs w:val="21"/>
          <w:highlight w:val="none"/>
          <w:u w:val="single"/>
        </w:rPr>
        <w:t xml:space="preserve">   </w:t>
      </w:r>
      <w:r>
        <w:rPr>
          <w:rFonts w:hint="eastAsia" w:ascii="宋体" w:hAnsi="宋体"/>
          <w:sz w:val="21"/>
          <w:szCs w:val="21"/>
          <w:highlight w:val="none"/>
        </w:rPr>
        <w:t>月</w:t>
      </w:r>
      <w:r>
        <w:rPr>
          <w:rFonts w:hint="eastAsia" w:ascii="宋体" w:hAnsi="宋体"/>
          <w:sz w:val="21"/>
          <w:szCs w:val="21"/>
          <w:highlight w:val="none"/>
          <w:u w:val="single"/>
        </w:rPr>
        <w:t xml:space="preserve">   </w:t>
      </w:r>
      <w:r>
        <w:rPr>
          <w:rFonts w:hint="eastAsia" w:ascii="宋体" w:hAnsi="宋体"/>
          <w:sz w:val="21"/>
          <w:szCs w:val="21"/>
          <w:highlight w:val="none"/>
        </w:rPr>
        <w:t>日</w:t>
      </w:r>
    </w:p>
    <w:p w14:paraId="2C930B1E">
      <w:pPr>
        <w:widowControl w:val="0"/>
        <w:spacing w:line="240" w:lineRule="auto"/>
        <w:ind w:firstLine="480"/>
        <w:jc w:val="right"/>
        <w:outlineLvl w:val="1"/>
        <w:rPr>
          <w:rFonts w:hint="eastAsia" w:ascii="仿宋" w:hAnsi="仿宋" w:eastAsia="仿宋" w:cs="仿宋_GB2312"/>
          <w:b w:val="0"/>
          <w:bCs w:val="0"/>
          <w:sz w:val="28"/>
          <w:highlight w:val="none"/>
          <w:lang w:eastAsia="zh-CN"/>
        </w:rPr>
      </w:pPr>
    </w:p>
    <w:p w14:paraId="4B94BDFB">
      <w:pPr>
        <w:pStyle w:val="11"/>
        <w:rPr>
          <w:rFonts w:hint="eastAsia" w:ascii="仿宋" w:hAnsi="仿宋" w:eastAsia="仿宋" w:cs="仿宋_GB2312"/>
          <w:b w:val="0"/>
          <w:bCs w:val="0"/>
          <w:sz w:val="28"/>
          <w:highlight w:val="none"/>
          <w:lang w:eastAsia="zh-CN"/>
        </w:rPr>
      </w:pPr>
    </w:p>
    <w:p w14:paraId="69C669EC">
      <w:pPr>
        <w:pStyle w:val="11"/>
        <w:rPr>
          <w:rFonts w:hint="eastAsia" w:ascii="仿宋" w:hAnsi="仿宋" w:eastAsia="仿宋" w:cs="仿宋_GB2312"/>
          <w:b w:val="0"/>
          <w:bCs w:val="0"/>
          <w:sz w:val="28"/>
          <w:highlight w:val="none"/>
          <w:lang w:eastAsia="zh-CN"/>
        </w:rPr>
      </w:pPr>
    </w:p>
    <w:p w14:paraId="2824A6C6">
      <w:pPr>
        <w:pStyle w:val="11"/>
        <w:rPr>
          <w:rFonts w:hint="eastAsia" w:ascii="仿宋" w:hAnsi="仿宋" w:eastAsia="仿宋" w:cs="仿宋_GB2312"/>
          <w:b w:val="0"/>
          <w:bCs w:val="0"/>
          <w:sz w:val="28"/>
          <w:highlight w:val="none"/>
          <w:lang w:eastAsia="zh-CN"/>
        </w:rPr>
      </w:pPr>
    </w:p>
    <w:p w14:paraId="4298A159">
      <w:pPr>
        <w:pStyle w:val="11"/>
        <w:rPr>
          <w:rFonts w:hint="eastAsia" w:ascii="仿宋" w:hAnsi="仿宋" w:eastAsia="仿宋" w:cs="仿宋_GB2312"/>
          <w:b w:val="0"/>
          <w:bCs w:val="0"/>
          <w:sz w:val="28"/>
          <w:highlight w:val="none"/>
          <w:lang w:eastAsia="zh-CN"/>
        </w:rPr>
      </w:pPr>
    </w:p>
    <w:p w14:paraId="13331EDE">
      <w:pPr>
        <w:pStyle w:val="11"/>
        <w:rPr>
          <w:rFonts w:hint="eastAsia" w:ascii="仿宋" w:hAnsi="仿宋" w:eastAsia="仿宋" w:cs="仿宋_GB2312"/>
          <w:b w:val="0"/>
          <w:bCs w:val="0"/>
          <w:sz w:val="28"/>
          <w:highlight w:val="none"/>
          <w:lang w:eastAsia="zh-CN"/>
        </w:rPr>
      </w:pPr>
    </w:p>
    <w:p w14:paraId="18A0AE94">
      <w:pPr>
        <w:pStyle w:val="11"/>
        <w:rPr>
          <w:rFonts w:hint="eastAsia" w:ascii="仿宋" w:hAnsi="仿宋" w:eastAsia="仿宋" w:cs="仿宋_GB2312"/>
          <w:b w:val="0"/>
          <w:bCs w:val="0"/>
          <w:sz w:val="28"/>
          <w:highlight w:val="none"/>
          <w:lang w:eastAsia="zh-CN"/>
        </w:rPr>
      </w:pPr>
    </w:p>
    <w:p w14:paraId="2F0CA4EA">
      <w:pPr>
        <w:pStyle w:val="11"/>
        <w:rPr>
          <w:rFonts w:hint="eastAsia" w:ascii="仿宋" w:hAnsi="仿宋" w:eastAsia="仿宋" w:cs="仿宋_GB2312"/>
          <w:b w:val="0"/>
          <w:bCs w:val="0"/>
          <w:sz w:val="28"/>
          <w:highlight w:val="none"/>
          <w:lang w:eastAsia="zh-CN"/>
        </w:rPr>
      </w:pPr>
    </w:p>
    <w:p w14:paraId="426D62C3">
      <w:pPr>
        <w:pStyle w:val="11"/>
        <w:rPr>
          <w:rFonts w:hint="eastAsia" w:ascii="仿宋" w:hAnsi="仿宋" w:eastAsia="仿宋" w:cs="仿宋_GB2312"/>
          <w:b w:val="0"/>
          <w:bCs w:val="0"/>
          <w:sz w:val="28"/>
          <w:highlight w:val="none"/>
          <w:lang w:eastAsia="zh-CN"/>
        </w:rPr>
      </w:pPr>
    </w:p>
    <w:p w14:paraId="2ED3FAB9">
      <w:pPr>
        <w:pStyle w:val="11"/>
        <w:rPr>
          <w:rFonts w:hint="eastAsia" w:ascii="仿宋" w:hAnsi="仿宋" w:eastAsia="仿宋" w:cs="仿宋_GB2312"/>
          <w:b w:val="0"/>
          <w:bCs w:val="0"/>
          <w:sz w:val="28"/>
          <w:highlight w:val="none"/>
          <w:lang w:eastAsia="zh-CN"/>
        </w:rPr>
      </w:pPr>
    </w:p>
    <w:p w14:paraId="3FF5599F">
      <w:pPr>
        <w:pStyle w:val="11"/>
        <w:rPr>
          <w:rFonts w:hint="eastAsia" w:ascii="仿宋" w:hAnsi="仿宋" w:eastAsia="仿宋" w:cs="仿宋_GB2312"/>
          <w:b w:val="0"/>
          <w:bCs w:val="0"/>
          <w:sz w:val="28"/>
          <w:highlight w:val="none"/>
          <w:lang w:eastAsia="zh-CN"/>
        </w:rPr>
      </w:pPr>
    </w:p>
    <w:p w14:paraId="373E460D">
      <w:pPr>
        <w:pStyle w:val="11"/>
        <w:jc w:val="center"/>
        <w:rPr>
          <w:rFonts w:hint="eastAsia" w:ascii="仿宋" w:hAnsi="仿宋" w:eastAsia="仿宋" w:cs="仿宋_GB2312"/>
          <w:b/>
          <w:bCs/>
          <w:sz w:val="28"/>
          <w:highlight w:val="none"/>
          <w:lang w:val="en-US" w:eastAsia="zh-CN"/>
        </w:rPr>
      </w:pPr>
    </w:p>
    <w:p w14:paraId="182144AC">
      <w:pPr>
        <w:pStyle w:val="11"/>
        <w:jc w:val="center"/>
        <w:rPr>
          <w:rFonts w:hint="eastAsia" w:ascii="仿宋" w:hAnsi="仿宋" w:eastAsia="仿宋" w:cs="仿宋_GB2312"/>
          <w:b/>
          <w:bCs/>
          <w:sz w:val="28"/>
          <w:highlight w:val="none"/>
          <w:lang w:val="en-US" w:eastAsia="zh-CN"/>
        </w:rPr>
      </w:pPr>
    </w:p>
    <w:p w14:paraId="32EF1425">
      <w:pPr>
        <w:pStyle w:val="11"/>
        <w:jc w:val="center"/>
        <w:rPr>
          <w:rFonts w:hint="default" w:ascii="仿宋" w:hAnsi="仿宋" w:eastAsia="仿宋" w:cs="仿宋_GB2312"/>
          <w:b/>
          <w:bCs/>
          <w:sz w:val="28"/>
          <w:highlight w:val="none"/>
          <w:lang w:val="en-US" w:eastAsia="zh-CN"/>
        </w:rPr>
      </w:pPr>
      <w:r>
        <w:rPr>
          <w:rFonts w:hint="eastAsia" w:ascii="仿宋" w:hAnsi="仿宋" w:eastAsia="仿宋" w:cs="仿宋_GB2312"/>
          <w:b/>
          <w:bCs/>
          <w:sz w:val="28"/>
          <w:highlight w:val="none"/>
          <w:lang w:val="en-US" w:eastAsia="zh-CN"/>
        </w:rPr>
        <w:t>9.报价清单</w:t>
      </w:r>
    </w:p>
    <w:p w14:paraId="7484462B">
      <w:pPr>
        <w:pStyle w:val="11"/>
        <w:rPr>
          <w:rFonts w:hint="eastAsia" w:ascii="仿宋" w:hAnsi="仿宋" w:eastAsia="仿宋" w:cs="仿宋_GB2312"/>
          <w:b w:val="0"/>
          <w:bCs w:val="0"/>
          <w:sz w:val="28"/>
          <w:highlight w:val="none"/>
          <w:lang w:eastAsia="zh-CN"/>
        </w:rPr>
      </w:pPr>
    </w:p>
    <w:tbl>
      <w:tblPr>
        <w:tblStyle w:val="17"/>
        <w:tblW w:w="10303" w:type="dxa"/>
        <w:tblInd w:w="-62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33"/>
        <w:gridCol w:w="883"/>
        <w:gridCol w:w="2534"/>
        <w:gridCol w:w="2823"/>
        <w:gridCol w:w="660"/>
        <w:gridCol w:w="780"/>
        <w:gridCol w:w="1890"/>
      </w:tblGrid>
      <w:tr w14:paraId="023AFF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10303"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22594CB9">
            <w:pPr>
              <w:keepNext w:val="0"/>
              <w:keepLines w:val="0"/>
              <w:widowControl/>
              <w:suppressLineNumbers w:val="0"/>
              <w:jc w:val="center"/>
              <w:textAlignment w:val="center"/>
              <w:rPr>
                <w:rFonts w:ascii="仿宋_GB2312" w:hAnsi="等线" w:eastAsia="仿宋_GB2312" w:cs="仿宋_GB2312"/>
                <w:b/>
                <w:bCs/>
                <w:i w:val="0"/>
                <w:iCs w:val="0"/>
                <w:color w:val="000000"/>
                <w:sz w:val="32"/>
                <w:szCs w:val="32"/>
                <w:u w:val="none"/>
              </w:rPr>
            </w:pPr>
            <w:r>
              <w:rPr>
                <w:rFonts w:hint="eastAsia" w:ascii="仿宋_GB2312" w:hAnsi="等线" w:eastAsia="仿宋_GB2312" w:cs="仿宋_GB2312"/>
                <w:b/>
                <w:bCs/>
                <w:i w:val="0"/>
                <w:iCs w:val="0"/>
                <w:snapToGrid w:val="0"/>
                <w:color w:val="000000"/>
                <w:kern w:val="0"/>
                <w:sz w:val="32"/>
                <w:szCs w:val="32"/>
                <w:u w:val="none"/>
                <w:lang w:val="en-US" w:eastAsia="zh-CN" w:bidi="ar"/>
              </w:rPr>
              <w:t xml:space="preserve">表1   </w:t>
            </w:r>
            <w:r>
              <w:rPr>
                <w:rFonts w:hint="default" w:ascii="仿宋_GB2312" w:hAnsi="等线" w:eastAsia="仿宋_GB2312" w:cs="仿宋_GB2312"/>
                <w:b/>
                <w:bCs/>
                <w:i w:val="0"/>
                <w:iCs w:val="0"/>
                <w:snapToGrid w:val="0"/>
                <w:color w:val="000000"/>
                <w:kern w:val="0"/>
                <w:sz w:val="32"/>
                <w:szCs w:val="32"/>
                <w:u w:val="none"/>
                <w:lang w:val="en-US" w:eastAsia="zh-CN" w:bidi="ar"/>
              </w:rPr>
              <w:t>待安装设备</w:t>
            </w:r>
            <w:r>
              <w:rPr>
                <w:rFonts w:hint="eastAsia" w:ascii="仿宋_GB2312" w:hAnsi="等线" w:eastAsia="仿宋_GB2312" w:cs="仿宋_GB2312"/>
                <w:b/>
                <w:bCs/>
                <w:i w:val="0"/>
                <w:iCs w:val="0"/>
                <w:snapToGrid w:val="0"/>
                <w:color w:val="000000"/>
                <w:kern w:val="0"/>
                <w:sz w:val="32"/>
                <w:szCs w:val="32"/>
                <w:u w:val="none"/>
                <w:lang w:val="en-US" w:eastAsia="zh-CN" w:bidi="ar"/>
              </w:rPr>
              <w:t>、软件</w:t>
            </w:r>
            <w:r>
              <w:rPr>
                <w:rFonts w:hint="default" w:ascii="仿宋_GB2312" w:hAnsi="等线" w:eastAsia="仿宋_GB2312" w:cs="仿宋_GB2312"/>
                <w:b/>
                <w:bCs/>
                <w:i w:val="0"/>
                <w:iCs w:val="0"/>
                <w:snapToGrid w:val="0"/>
                <w:color w:val="000000"/>
                <w:kern w:val="0"/>
                <w:sz w:val="32"/>
                <w:szCs w:val="32"/>
                <w:u w:val="none"/>
                <w:lang w:val="en-US" w:eastAsia="zh-CN" w:bidi="ar"/>
              </w:rPr>
              <w:t>清单</w:t>
            </w:r>
          </w:p>
        </w:tc>
      </w:tr>
      <w:tr w14:paraId="1D553E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958FC">
            <w:pPr>
              <w:keepNext w:val="0"/>
              <w:keepLines w:val="0"/>
              <w:widowControl/>
              <w:suppressLineNumbers w:val="0"/>
              <w:jc w:val="center"/>
              <w:textAlignment w:val="center"/>
              <w:rPr>
                <w:rFonts w:hint="default" w:ascii="仿宋_GB2312" w:hAnsi="等线" w:eastAsia="仿宋_GB2312" w:cs="仿宋_GB2312"/>
                <w:b/>
                <w:bCs/>
                <w:i w:val="0"/>
                <w:iCs w:val="0"/>
                <w:color w:val="000000"/>
                <w:sz w:val="20"/>
                <w:szCs w:val="20"/>
                <w:u w:val="none"/>
              </w:rPr>
            </w:pPr>
            <w:r>
              <w:rPr>
                <w:rFonts w:hint="default" w:ascii="仿宋_GB2312" w:hAnsi="等线" w:eastAsia="仿宋_GB2312" w:cs="仿宋_GB2312"/>
                <w:b/>
                <w:bCs/>
                <w:i w:val="0"/>
                <w:iCs w:val="0"/>
                <w:snapToGrid w:val="0"/>
                <w:color w:val="000000"/>
                <w:kern w:val="0"/>
                <w:sz w:val="20"/>
                <w:szCs w:val="20"/>
                <w:u w:val="none"/>
                <w:lang w:val="en-US" w:eastAsia="zh-CN" w:bidi="ar"/>
              </w:rPr>
              <w:t>序号</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CFAA6">
            <w:pPr>
              <w:keepNext w:val="0"/>
              <w:keepLines w:val="0"/>
              <w:widowControl/>
              <w:suppressLineNumbers w:val="0"/>
              <w:jc w:val="center"/>
              <w:textAlignment w:val="center"/>
              <w:rPr>
                <w:rFonts w:hint="default" w:ascii="仿宋_GB2312" w:hAnsi="等线" w:eastAsia="仿宋_GB2312" w:cs="仿宋_GB2312"/>
                <w:b/>
                <w:bCs/>
                <w:i w:val="0"/>
                <w:iCs w:val="0"/>
                <w:color w:val="000000"/>
                <w:sz w:val="20"/>
                <w:szCs w:val="20"/>
                <w:u w:val="none"/>
              </w:rPr>
            </w:pPr>
            <w:r>
              <w:rPr>
                <w:rFonts w:hint="default" w:ascii="仿宋_GB2312" w:hAnsi="等线" w:eastAsia="仿宋_GB2312" w:cs="仿宋_GB2312"/>
                <w:b/>
                <w:bCs/>
                <w:i w:val="0"/>
                <w:iCs w:val="0"/>
                <w:snapToGrid w:val="0"/>
                <w:color w:val="000000"/>
                <w:kern w:val="0"/>
                <w:sz w:val="20"/>
                <w:szCs w:val="20"/>
                <w:u w:val="none"/>
                <w:lang w:val="en-US" w:eastAsia="zh-CN" w:bidi="ar"/>
              </w:rPr>
              <w:t>位置</w:t>
            </w:r>
          </w:p>
        </w:tc>
        <w:tc>
          <w:tcPr>
            <w:tcW w:w="2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BE5FC">
            <w:pPr>
              <w:keepNext w:val="0"/>
              <w:keepLines w:val="0"/>
              <w:widowControl/>
              <w:suppressLineNumbers w:val="0"/>
              <w:jc w:val="center"/>
              <w:textAlignment w:val="center"/>
              <w:rPr>
                <w:rFonts w:hint="default" w:ascii="仿宋_GB2312" w:hAnsi="等线" w:eastAsia="仿宋_GB2312" w:cs="仿宋_GB2312"/>
                <w:b/>
                <w:bCs/>
                <w:i w:val="0"/>
                <w:iCs w:val="0"/>
                <w:color w:val="000000"/>
                <w:sz w:val="20"/>
                <w:szCs w:val="20"/>
                <w:u w:val="none"/>
              </w:rPr>
            </w:pPr>
            <w:r>
              <w:rPr>
                <w:rFonts w:hint="default" w:ascii="仿宋_GB2312" w:hAnsi="等线" w:eastAsia="仿宋_GB2312" w:cs="仿宋_GB2312"/>
                <w:b/>
                <w:bCs/>
                <w:i w:val="0"/>
                <w:iCs w:val="0"/>
                <w:snapToGrid w:val="0"/>
                <w:color w:val="000000"/>
                <w:kern w:val="0"/>
                <w:sz w:val="20"/>
                <w:szCs w:val="20"/>
                <w:u w:val="none"/>
                <w:lang w:val="en-US" w:eastAsia="zh-CN" w:bidi="ar"/>
              </w:rPr>
              <w:t>设备（设施）名称</w:t>
            </w:r>
          </w:p>
        </w:tc>
        <w:tc>
          <w:tcPr>
            <w:tcW w:w="2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45591">
            <w:pPr>
              <w:keepNext w:val="0"/>
              <w:keepLines w:val="0"/>
              <w:widowControl/>
              <w:suppressLineNumbers w:val="0"/>
              <w:jc w:val="center"/>
              <w:textAlignment w:val="center"/>
              <w:rPr>
                <w:rFonts w:hint="default" w:ascii="仿宋_GB2312" w:hAnsi="等线" w:eastAsia="仿宋_GB2312" w:cs="仿宋_GB2312"/>
                <w:b/>
                <w:bCs/>
                <w:i w:val="0"/>
                <w:iCs w:val="0"/>
                <w:color w:val="000000"/>
                <w:sz w:val="20"/>
                <w:szCs w:val="20"/>
                <w:u w:val="none"/>
              </w:rPr>
            </w:pPr>
            <w:r>
              <w:rPr>
                <w:rFonts w:hint="default" w:ascii="仿宋_GB2312" w:hAnsi="等线" w:eastAsia="仿宋_GB2312" w:cs="仿宋_GB2312"/>
                <w:b/>
                <w:bCs/>
                <w:i w:val="0"/>
                <w:iCs w:val="0"/>
                <w:snapToGrid w:val="0"/>
                <w:color w:val="000000"/>
                <w:kern w:val="0"/>
                <w:sz w:val="20"/>
                <w:szCs w:val="20"/>
                <w:u w:val="none"/>
                <w:lang w:val="en-US" w:eastAsia="zh-CN" w:bidi="ar"/>
              </w:rPr>
              <w:t>规格型号</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73DA5">
            <w:pPr>
              <w:keepNext w:val="0"/>
              <w:keepLines w:val="0"/>
              <w:widowControl/>
              <w:suppressLineNumbers w:val="0"/>
              <w:jc w:val="center"/>
              <w:textAlignment w:val="center"/>
              <w:rPr>
                <w:rFonts w:hint="default" w:ascii="仿宋_GB2312" w:hAnsi="等线" w:eastAsia="仿宋_GB2312" w:cs="仿宋_GB2312"/>
                <w:b/>
                <w:bCs/>
                <w:i w:val="0"/>
                <w:iCs w:val="0"/>
                <w:color w:val="000000"/>
                <w:sz w:val="20"/>
                <w:szCs w:val="20"/>
                <w:u w:val="none"/>
              </w:rPr>
            </w:pPr>
            <w:r>
              <w:rPr>
                <w:rFonts w:hint="default" w:ascii="仿宋_GB2312" w:hAnsi="等线" w:eastAsia="仿宋_GB2312" w:cs="仿宋_GB2312"/>
                <w:b/>
                <w:bCs/>
                <w:i w:val="0"/>
                <w:iCs w:val="0"/>
                <w:snapToGrid w:val="0"/>
                <w:color w:val="000000"/>
                <w:kern w:val="0"/>
                <w:sz w:val="20"/>
                <w:szCs w:val="20"/>
                <w:u w:val="none"/>
                <w:lang w:val="en-US" w:eastAsia="zh-CN" w:bidi="ar"/>
              </w:rPr>
              <w:t>单位</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C1096">
            <w:pPr>
              <w:keepNext w:val="0"/>
              <w:keepLines w:val="0"/>
              <w:widowControl/>
              <w:suppressLineNumbers w:val="0"/>
              <w:jc w:val="center"/>
              <w:textAlignment w:val="center"/>
              <w:rPr>
                <w:rFonts w:hint="default" w:ascii="仿宋_GB2312" w:hAnsi="等线" w:eastAsia="仿宋_GB2312" w:cs="仿宋_GB2312"/>
                <w:b/>
                <w:bCs/>
                <w:i w:val="0"/>
                <w:iCs w:val="0"/>
                <w:color w:val="000000"/>
                <w:sz w:val="20"/>
                <w:szCs w:val="20"/>
                <w:u w:val="none"/>
              </w:rPr>
            </w:pPr>
            <w:r>
              <w:rPr>
                <w:rFonts w:hint="default" w:ascii="仿宋_GB2312" w:hAnsi="等线" w:eastAsia="仿宋_GB2312" w:cs="仿宋_GB2312"/>
                <w:b/>
                <w:bCs/>
                <w:i w:val="0"/>
                <w:iCs w:val="0"/>
                <w:snapToGrid w:val="0"/>
                <w:color w:val="000000"/>
                <w:kern w:val="0"/>
                <w:sz w:val="20"/>
                <w:szCs w:val="20"/>
                <w:u w:val="none"/>
                <w:lang w:val="en-US" w:eastAsia="zh-CN" w:bidi="ar"/>
              </w:rPr>
              <w:t>数量</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D862D">
            <w:pPr>
              <w:keepNext w:val="0"/>
              <w:keepLines w:val="0"/>
              <w:widowControl/>
              <w:suppressLineNumbers w:val="0"/>
              <w:jc w:val="center"/>
              <w:textAlignment w:val="center"/>
              <w:rPr>
                <w:rFonts w:hint="default" w:ascii="仿宋_GB2312" w:hAnsi="等线" w:eastAsia="仿宋_GB2312" w:cs="仿宋_GB2312"/>
                <w:b/>
                <w:bCs/>
                <w:i w:val="0"/>
                <w:iCs w:val="0"/>
                <w:color w:val="000000"/>
                <w:sz w:val="20"/>
                <w:szCs w:val="20"/>
                <w:u w:val="none"/>
              </w:rPr>
            </w:pPr>
            <w:r>
              <w:rPr>
                <w:rFonts w:hint="default" w:ascii="仿宋_GB2312" w:hAnsi="等线" w:eastAsia="仿宋_GB2312" w:cs="仿宋_GB2312"/>
                <w:b/>
                <w:bCs/>
                <w:i w:val="0"/>
                <w:iCs w:val="0"/>
                <w:snapToGrid w:val="0"/>
                <w:color w:val="000000"/>
                <w:kern w:val="0"/>
                <w:sz w:val="20"/>
                <w:szCs w:val="20"/>
                <w:u w:val="none"/>
                <w:lang w:val="en-US" w:eastAsia="zh-CN" w:bidi="ar"/>
              </w:rPr>
              <w:t>备注</w:t>
            </w:r>
          </w:p>
        </w:tc>
      </w:tr>
      <w:tr w14:paraId="353C8B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72EDE">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1</w:t>
            </w:r>
          </w:p>
        </w:tc>
        <w:tc>
          <w:tcPr>
            <w:tcW w:w="8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B69B0E">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棘洪滩泵站</w:t>
            </w:r>
          </w:p>
        </w:tc>
        <w:tc>
          <w:tcPr>
            <w:tcW w:w="2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C7C87">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取水流量计</w:t>
            </w:r>
          </w:p>
        </w:tc>
        <w:tc>
          <w:tcPr>
            <w:tcW w:w="2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EAEFE">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取水流量计</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AA9A9">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01A54">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2</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42BAD">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包工包辅料</w:t>
            </w:r>
          </w:p>
        </w:tc>
      </w:tr>
      <w:tr w14:paraId="352A58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1AA1A">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2</w:t>
            </w:r>
          </w:p>
        </w:tc>
        <w:tc>
          <w:tcPr>
            <w:tcW w:w="8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C04947">
            <w:pPr>
              <w:jc w:val="center"/>
              <w:rPr>
                <w:rFonts w:hint="default" w:ascii="仿宋_GB2312" w:hAnsi="等线" w:eastAsia="仿宋_GB2312" w:cs="仿宋_GB2312"/>
                <w:i w:val="0"/>
                <w:iCs w:val="0"/>
                <w:color w:val="000000"/>
                <w:sz w:val="20"/>
                <w:szCs w:val="20"/>
                <w:u w:val="none"/>
              </w:rPr>
            </w:pPr>
          </w:p>
        </w:tc>
        <w:tc>
          <w:tcPr>
            <w:tcW w:w="2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75720">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通信电缆</w:t>
            </w:r>
          </w:p>
        </w:tc>
        <w:tc>
          <w:tcPr>
            <w:tcW w:w="2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1F10C">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安装/电缆敷设施工</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329F8">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米</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8A078">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750</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45D90">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包工包辅料</w:t>
            </w:r>
          </w:p>
        </w:tc>
      </w:tr>
      <w:tr w14:paraId="62BF06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A9780">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3</w:t>
            </w:r>
          </w:p>
        </w:tc>
        <w:tc>
          <w:tcPr>
            <w:tcW w:w="8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2DA997">
            <w:pPr>
              <w:jc w:val="center"/>
              <w:rPr>
                <w:rFonts w:hint="default" w:ascii="仿宋_GB2312" w:hAnsi="等线" w:eastAsia="仿宋_GB2312" w:cs="仿宋_GB2312"/>
                <w:i w:val="0"/>
                <w:iCs w:val="0"/>
                <w:color w:val="000000"/>
                <w:sz w:val="20"/>
                <w:szCs w:val="20"/>
                <w:u w:val="none"/>
              </w:rPr>
            </w:pPr>
          </w:p>
        </w:tc>
        <w:tc>
          <w:tcPr>
            <w:tcW w:w="2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A8F2F">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PLC通讯模块</w:t>
            </w:r>
          </w:p>
        </w:tc>
        <w:tc>
          <w:tcPr>
            <w:tcW w:w="2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6BCAA">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smart200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E8046">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643D2">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1</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C511C">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包工包辅料</w:t>
            </w:r>
          </w:p>
        </w:tc>
      </w:tr>
      <w:tr w14:paraId="3EEF73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721CD">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4</w:t>
            </w:r>
          </w:p>
        </w:tc>
        <w:tc>
          <w:tcPr>
            <w:tcW w:w="8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51F7AF">
            <w:pPr>
              <w:jc w:val="center"/>
              <w:rPr>
                <w:rFonts w:hint="default" w:ascii="仿宋_GB2312" w:hAnsi="等线" w:eastAsia="仿宋_GB2312" w:cs="仿宋_GB2312"/>
                <w:i w:val="0"/>
                <w:iCs w:val="0"/>
                <w:color w:val="000000"/>
                <w:sz w:val="20"/>
                <w:szCs w:val="20"/>
                <w:u w:val="none"/>
              </w:rPr>
            </w:pPr>
          </w:p>
        </w:tc>
        <w:tc>
          <w:tcPr>
            <w:tcW w:w="2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4C7DB">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采集通信网关</w:t>
            </w:r>
          </w:p>
        </w:tc>
        <w:tc>
          <w:tcPr>
            <w:tcW w:w="2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EA8E9">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巨控/映翰通</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1A7FA">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F4BD7">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1</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55BB3">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包工包辅料</w:t>
            </w:r>
          </w:p>
        </w:tc>
      </w:tr>
      <w:tr w14:paraId="3FF668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ADC0A">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5</w:t>
            </w:r>
          </w:p>
        </w:tc>
        <w:tc>
          <w:tcPr>
            <w:tcW w:w="8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B5E115">
            <w:pPr>
              <w:jc w:val="center"/>
              <w:rPr>
                <w:rFonts w:hint="default" w:ascii="仿宋_GB2312" w:hAnsi="等线" w:eastAsia="仿宋_GB2312" w:cs="仿宋_GB2312"/>
                <w:i w:val="0"/>
                <w:iCs w:val="0"/>
                <w:color w:val="000000"/>
                <w:sz w:val="20"/>
                <w:szCs w:val="20"/>
                <w:u w:val="none"/>
              </w:rPr>
            </w:pPr>
          </w:p>
        </w:tc>
        <w:tc>
          <w:tcPr>
            <w:tcW w:w="2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75680">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光纤及相关设备</w:t>
            </w:r>
          </w:p>
        </w:tc>
        <w:tc>
          <w:tcPr>
            <w:tcW w:w="2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701DF">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安装/电缆敷设施工</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FC174">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米</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C53AB">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1</w:t>
            </w:r>
          </w:p>
        </w:tc>
        <w:tc>
          <w:tcPr>
            <w:tcW w:w="1890" w:type="dxa"/>
            <w:tcBorders>
              <w:top w:val="single" w:color="000000" w:sz="4" w:space="0"/>
              <w:left w:val="single" w:color="000000" w:sz="4" w:space="0"/>
              <w:bottom w:val="single" w:color="000000" w:sz="4" w:space="0"/>
              <w:right w:val="single" w:color="000000" w:sz="4" w:space="0"/>
            </w:tcBorders>
            <w:shd w:val="clear" w:color="auto" w:fill="FFFF00"/>
            <w:vAlign w:val="center"/>
          </w:tcPr>
          <w:p w14:paraId="559BC0E5">
            <w:pPr>
              <w:keepNext w:val="0"/>
              <w:keepLines w:val="0"/>
              <w:widowControl/>
              <w:suppressLineNumbers w:val="0"/>
              <w:jc w:val="center"/>
              <w:textAlignment w:val="center"/>
              <w:rPr>
                <w:rFonts w:hint="default" w:ascii="仿宋_GB2312" w:hAnsi="等线" w:eastAsia="仿宋_GB2312" w:cs="仿宋_GB2312"/>
                <w:b/>
                <w:bCs/>
                <w:i w:val="0"/>
                <w:iCs w:val="0"/>
                <w:color w:val="000000"/>
                <w:sz w:val="20"/>
                <w:szCs w:val="20"/>
                <w:u w:val="none"/>
              </w:rPr>
            </w:pPr>
            <w:r>
              <w:rPr>
                <w:rFonts w:hint="default" w:ascii="仿宋_GB2312" w:hAnsi="等线" w:eastAsia="仿宋_GB2312" w:cs="仿宋_GB2312"/>
                <w:b/>
                <w:bCs/>
                <w:i w:val="0"/>
                <w:iCs w:val="0"/>
                <w:snapToGrid w:val="0"/>
                <w:color w:val="000000"/>
                <w:kern w:val="0"/>
                <w:sz w:val="20"/>
                <w:szCs w:val="20"/>
                <w:u w:val="none"/>
                <w:lang w:val="en-US" w:eastAsia="zh-CN" w:bidi="ar"/>
              </w:rPr>
              <w:t>含光缆采购及敷设</w:t>
            </w:r>
          </w:p>
        </w:tc>
      </w:tr>
      <w:tr w14:paraId="630E01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F9F3B">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6</w:t>
            </w:r>
          </w:p>
        </w:tc>
        <w:tc>
          <w:tcPr>
            <w:tcW w:w="8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F83483">
            <w:pPr>
              <w:jc w:val="center"/>
              <w:rPr>
                <w:rFonts w:hint="default" w:ascii="仿宋_GB2312" w:hAnsi="等线" w:eastAsia="仿宋_GB2312" w:cs="仿宋_GB2312"/>
                <w:i w:val="0"/>
                <w:iCs w:val="0"/>
                <w:color w:val="000000"/>
                <w:sz w:val="20"/>
                <w:szCs w:val="20"/>
                <w:u w:val="none"/>
              </w:rPr>
            </w:pPr>
          </w:p>
        </w:tc>
        <w:tc>
          <w:tcPr>
            <w:tcW w:w="2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B180F">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分支SDWAN设备</w:t>
            </w:r>
          </w:p>
        </w:tc>
        <w:tc>
          <w:tcPr>
            <w:tcW w:w="2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0FACB">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天融信SDWAN设备</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01989">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149AF">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1</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D00FA">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包工包辅料</w:t>
            </w:r>
          </w:p>
        </w:tc>
      </w:tr>
      <w:tr w14:paraId="1F22DB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FEC28">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7</w:t>
            </w:r>
          </w:p>
        </w:tc>
        <w:tc>
          <w:tcPr>
            <w:tcW w:w="8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C6716A">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管家楼水厂</w:t>
            </w:r>
          </w:p>
        </w:tc>
        <w:tc>
          <w:tcPr>
            <w:tcW w:w="2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F8B27">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制水流量计</w:t>
            </w:r>
            <w:r>
              <w:rPr>
                <w:rFonts w:hint="eastAsia" w:ascii="宋体" w:hAnsi="宋体" w:eastAsia="宋体" w:cs="宋体"/>
                <w:i w:val="0"/>
                <w:iCs w:val="0"/>
                <w:snapToGrid w:val="0"/>
                <w:color w:val="000000"/>
                <w:kern w:val="0"/>
                <w:sz w:val="20"/>
                <w:szCs w:val="20"/>
                <w:u w:val="none"/>
                <w:lang w:val="en-US" w:eastAsia="zh-CN" w:bidi="ar"/>
              </w:rPr>
              <w:t>+回收流量计</w:t>
            </w:r>
          </w:p>
        </w:tc>
        <w:tc>
          <w:tcPr>
            <w:tcW w:w="2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E4AB3">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上海泗博HART/MODBUS网关</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3C206">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34300">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3</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C745B">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包工包辅料</w:t>
            </w:r>
          </w:p>
        </w:tc>
      </w:tr>
      <w:tr w14:paraId="61BC13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CBEDC">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8</w:t>
            </w:r>
          </w:p>
        </w:tc>
        <w:tc>
          <w:tcPr>
            <w:tcW w:w="8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3CA8E0">
            <w:pPr>
              <w:jc w:val="center"/>
              <w:rPr>
                <w:rFonts w:hint="default" w:ascii="仿宋_GB2312" w:hAnsi="等线" w:eastAsia="仿宋_GB2312" w:cs="仿宋_GB2312"/>
                <w:i w:val="0"/>
                <w:iCs w:val="0"/>
                <w:color w:val="000000"/>
                <w:sz w:val="20"/>
                <w:szCs w:val="20"/>
                <w:u w:val="none"/>
              </w:rPr>
            </w:pPr>
          </w:p>
        </w:tc>
        <w:tc>
          <w:tcPr>
            <w:tcW w:w="2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FF68E">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供水流量计</w:t>
            </w:r>
          </w:p>
        </w:tc>
        <w:tc>
          <w:tcPr>
            <w:tcW w:w="2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3BC03">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上海泗博HART/MODBUS网关</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53386">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2F4AC">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2</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04C20">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包工包辅料</w:t>
            </w:r>
          </w:p>
        </w:tc>
      </w:tr>
      <w:tr w14:paraId="6FA140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9552F">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9</w:t>
            </w:r>
          </w:p>
        </w:tc>
        <w:tc>
          <w:tcPr>
            <w:tcW w:w="8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68A474">
            <w:pPr>
              <w:jc w:val="center"/>
              <w:rPr>
                <w:rFonts w:hint="default" w:ascii="仿宋_GB2312" w:hAnsi="等线" w:eastAsia="仿宋_GB2312" w:cs="仿宋_GB2312"/>
                <w:i w:val="0"/>
                <w:iCs w:val="0"/>
                <w:color w:val="000000"/>
                <w:sz w:val="20"/>
                <w:szCs w:val="20"/>
                <w:u w:val="none"/>
              </w:rPr>
            </w:pPr>
          </w:p>
        </w:tc>
        <w:tc>
          <w:tcPr>
            <w:tcW w:w="2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75219">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电表改造</w:t>
            </w:r>
          </w:p>
        </w:tc>
        <w:tc>
          <w:tcPr>
            <w:tcW w:w="2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D6F4F">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正泰多功能电表</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9B905">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F274E">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6</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D9242">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包工包辅料</w:t>
            </w:r>
          </w:p>
        </w:tc>
      </w:tr>
      <w:tr w14:paraId="5E0CBE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BD9D6">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10</w:t>
            </w:r>
          </w:p>
        </w:tc>
        <w:tc>
          <w:tcPr>
            <w:tcW w:w="8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EA6953">
            <w:pPr>
              <w:jc w:val="center"/>
              <w:rPr>
                <w:rFonts w:hint="default" w:ascii="仿宋_GB2312" w:hAnsi="等线" w:eastAsia="仿宋_GB2312" w:cs="仿宋_GB2312"/>
                <w:i w:val="0"/>
                <w:iCs w:val="0"/>
                <w:color w:val="000000"/>
                <w:sz w:val="20"/>
                <w:szCs w:val="20"/>
                <w:u w:val="none"/>
              </w:rPr>
            </w:pPr>
          </w:p>
        </w:tc>
        <w:tc>
          <w:tcPr>
            <w:tcW w:w="2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F668D">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电流互感器</w:t>
            </w:r>
          </w:p>
        </w:tc>
        <w:tc>
          <w:tcPr>
            <w:tcW w:w="2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E6A9A">
            <w:pPr>
              <w:jc w:val="center"/>
              <w:rPr>
                <w:rFonts w:hint="default" w:ascii="仿宋_GB2312" w:hAnsi="等线" w:eastAsia="仿宋_GB2312" w:cs="仿宋_GB2312"/>
                <w:i w:val="0"/>
                <w:iCs w:val="0"/>
                <w:color w:val="000000"/>
                <w:sz w:val="20"/>
                <w:szCs w:val="20"/>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DADD7">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7C320">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18</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ADB55">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包工包辅料</w:t>
            </w:r>
          </w:p>
        </w:tc>
      </w:tr>
      <w:tr w14:paraId="2BC2F0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FCC16">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11</w:t>
            </w:r>
          </w:p>
        </w:tc>
        <w:tc>
          <w:tcPr>
            <w:tcW w:w="8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D7249E">
            <w:pPr>
              <w:jc w:val="center"/>
              <w:rPr>
                <w:rFonts w:hint="default" w:ascii="仿宋_GB2312" w:hAnsi="等线" w:eastAsia="仿宋_GB2312" w:cs="仿宋_GB2312"/>
                <w:i w:val="0"/>
                <w:iCs w:val="0"/>
                <w:color w:val="000000"/>
                <w:sz w:val="20"/>
                <w:szCs w:val="20"/>
                <w:u w:val="none"/>
              </w:rPr>
            </w:pPr>
          </w:p>
        </w:tc>
        <w:tc>
          <w:tcPr>
            <w:tcW w:w="2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5BB92">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通信电缆</w:t>
            </w:r>
          </w:p>
        </w:tc>
        <w:tc>
          <w:tcPr>
            <w:tcW w:w="2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0CDFB">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modbus电缆</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DF92E">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米</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BB284">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1500</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BF14D">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包工包辅料</w:t>
            </w:r>
          </w:p>
        </w:tc>
      </w:tr>
      <w:tr w14:paraId="35EAD9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0B5E1">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12</w:t>
            </w:r>
          </w:p>
        </w:tc>
        <w:tc>
          <w:tcPr>
            <w:tcW w:w="8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2E198A">
            <w:pPr>
              <w:jc w:val="center"/>
              <w:rPr>
                <w:rFonts w:hint="default" w:ascii="仿宋_GB2312" w:hAnsi="等线" w:eastAsia="仿宋_GB2312" w:cs="仿宋_GB2312"/>
                <w:i w:val="0"/>
                <w:iCs w:val="0"/>
                <w:color w:val="000000"/>
                <w:sz w:val="20"/>
                <w:szCs w:val="20"/>
                <w:u w:val="none"/>
              </w:rPr>
            </w:pPr>
          </w:p>
        </w:tc>
        <w:tc>
          <w:tcPr>
            <w:tcW w:w="2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34173">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PLC通讯模块</w:t>
            </w:r>
          </w:p>
        </w:tc>
        <w:tc>
          <w:tcPr>
            <w:tcW w:w="2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142DF">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smart200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9D590">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034F9">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4</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CB676">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包工包辅料</w:t>
            </w:r>
          </w:p>
        </w:tc>
      </w:tr>
      <w:tr w14:paraId="271548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9796E">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13</w:t>
            </w:r>
          </w:p>
        </w:tc>
        <w:tc>
          <w:tcPr>
            <w:tcW w:w="8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74A78F">
            <w:pPr>
              <w:jc w:val="center"/>
              <w:rPr>
                <w:rFonts w:hint="default" w:ascii="仿宋_GB2312" w:hAnsi="等线" w:eastAsia="仿宋_GB2312" w:cs="仿宋_GB2312"/>
                <w:i w:val="0"/>
                <w:iCs w:val="0"/>
                <w:color w:val="000000"/>
                <w:sz w:val="20"/>
                <w:szCs w:val="20"/>
                <w:u w:val="none"/>
              </w:rPr>
            </w:pPr>
          </w:p>
        </w:tc>
        <w:tc>
          <w:tcPr>
            <w:tcW w:w="2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FE44E">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工控机</w:t>
            </w:r>
          </w:p>
        </w:tc>
        <w:tc>
          <w:tcPr>
            <w:tcW w:w="2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90C1E">
            <w:pPr>
              <w:jc w:val="center"/>
              <w:rPr>
                <w:rFonts w:hint="default" w:ascii="仿宋_GB2312" w:hAnsi="等线" w:eastAsia="仿宋_GB2312" w:cs="仿宋_GB2312"/>
                <w:i w:val="0"/>
                <w:iCs w:val="0"/>
                <w:color w:val="000000"/>
                <w:sz w:val="20"/>
                <w:szCs w:val="20"/>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389F4">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D0159">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1</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690AC">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包工包辅料</w:t>
            </w:r>
          </w:p>
        </w:tc>
      </w:tr>
      <w:tr w14:paraId="0E6151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ACDEC">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14</w:t>
            </w:r>
          </w:p>
        </w:tc>
        <w:tc>
          <w:tcPr>
            <w:tcW w:w="8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690ADA">
            <w:pPr>
              <w:jc w:val="center"/>
              <w:rPr>
                <w:rFonts w:hint="default" w:ascii="仿宋_GB2312" w:hAnsi="等线" w:eastAsia="仿宋_GB2312" w:cs="仿宋_GB2312"/>
                <w:i w:val="0"/>
                <w:iCs w:val="0"/>
                <w:color w:val="000000"/>
                <w:sz w:val="20"/>
                <w:szCs w:val="20"/>
                <w:u w:val="none"/>
              </w:rPr>
            </w:pPr>
          </w:p>
        </w:tc>
        <w:tc>
          <w:tcPr>
            <w:tcW w:w="2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89565">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采集通信网关</w:t>
            </w:r>
          </w:p>
        </w:tc>
        <w:tc>
          <w:tcPr>
            <w:tcW w:w="2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3C859">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巨控/映翰通</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13D54">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BF7C6">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1</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F6126">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包工包辅料</w:t>
            </w:r>
          </w:p>
        </w:tc>
      </w:tr>
      <w:tr w14:paraId="508645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A6986">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15</w:t>
            </w:r>
          </w:p>
        </w:tc>
        <w:tc>
          <w:tcPr>
            <w:tcW w:w="8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8DFEDB">
            <w:pPr>
              <w:jc w:val="center"/>
              <w:rPr>
                <w:rFonts w:hint="default" w:ascii="仿宋_GB2312" w:hAnsi="等线" w:eastAsia="仿宋_GB2312" w:cs="仿宋_GB2312"/>
                <w:i w:val="0"/>
                <w:iCs w:val="0"/>
                <w:color w:val="000000"/>
                <w:sz w:val="20"/>
                <w:szCs w:val="20"/>
                <w:u w:val="none"/>
              </w:rPr>
            </w:pPr>
          </w:p>
        </w:tc>
        <w:tc>
          <w:tcPr>
            <w:tcW w:w="2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78DFD">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分支SDWAN设备</w:t>
            </w:r>
          </w:p>
        </w:tc>
        <w:tc>
          <w:tcPr>
            <w:tcW w:w="2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9808B">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天融信SDWAN设备</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88444">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1F5A9">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1</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6624B">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包工包辅料</w:t>
            </w:r>
          </w:p>
        </w:tc>
      </w:tr>
      <w:tr w14:paraId="307C6E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E3F58">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16</w:t>
            </w:r>
          </w:p>
        </w:tc>
        <w:tc>
          <w:tcPr>
            <w:tcW w:w="8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41F4B7">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红石崖水厂</w:t>
            </w:r>
          </w:p>
        </w:tc>
        <w:tc>
          <w:tcPr>
            <w:tcW w:w="2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32732">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制水流量计</w:t>
            </w:r>
          </w:p>
        </w:tc>
        <w:tc>
          <w:tcPr>
            <w:tcW w:w="2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87EA6">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上海泗博HART/MODBUS网关</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EAE02">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C2333">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3</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33046">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包工包辅料</w:t>
            </w:r>
          </w:p>
        </w:tc>
      </w:tr>
      <w:tr w14:paraId="397FCF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05CBC">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17</w:t>
            </w:r>
          </w:p>
        </w:tc>
        <w:tc>
          <w:tcPr>
            <w:tcW w:w="8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3935BE">
            <w:pPr>
              <w:jc w:val="center"/>
              <w:rPr>
                <w:rFonts w:hint="default" w:ascii="仿宋_GB2312" w:hAnsi="等线" w:eastAsia="仿宋_GB2312" w:cs="仿宋_GB2312"/>
                <w:i w:val="0"/>
                <w:iCs w:val="0"/>
                <w:color w:val="000000"/>
                <w:sz w:val="20"/>
                <w:szCs w:val="20"/>
                <w:u w:val="none"/>
              </w:rPr>
            </w:pPr>
          </w:p>
        </w:tc>
        <w:tc>
          <w:tcPr>
            <w:tcW w:w="2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DECD6">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供水流量计</w:t>
            </w:r>
          </w:p>
        </w:tc>
        <w:tc>
          <w:tcPr>
            <w:tcW w:w="2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B12BA">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上海泗博HART/MODBUS网关</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C170D">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DAB40">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2</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D9CC1">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包工包辅料</w:t>
            </w:r>
          </w:p>
        </w:tc>
      </w:tr>
      <w:tr w14:paraId="4A0594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BF97B">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18</w:t>
            </w:r>
          </w:p>
        </w:tc>
        <w:tc>
          <w:tcPr>
            <w:tcW w:w="8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F24D57">
            <w:pPr>
              <w:jc w:val="center"/>
              <w:rPr>
                <w:rFonts w:hint="default" w:ascii="仿宋_GB2312" w:hAnsi="等线" w:eastAsia="仿宋_GB2312" w:cs="仿宋_GB2312"/>
                <w:i w:val="0"/>
                <w:iCs w:val="0"/>
                <w:color w:val="000000"/>
                <w:sz w:val="20"/>
                <w:szCs w:val="20"/>
                <w:u w:val="none"/>
              </w:rPr>
            </w:pPr>
          </w:p>
        </w:tc>
        <w:tc>
          <w:tcPr>
            <w:tcW w:w="2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08F74">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电表改造</w:t>
            </w:r>
          </w:p>
        </w:tc>
        <w:tc>
          <w:tcPr>
            <w:tcW w:w="2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DEC8A">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正泰多功能电表</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9A976">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EF624">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8</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E0B73">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包工包辅料</w:t>
            </w:r>
          </w:p>
        </w:tc>
      </w:tr>
      <w:tr w14:paraId="6D526B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7875D">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19</w:t>
            </w:r>
          </w:p>
        </w:tc>
        <w:tc>
          <w:tcPr>
            <w:tcW w:w="8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B6A17F">
            <w:pPr>
              <w:jc w:val="center"/>
              <w:rPr>
                <w:rFonts w:hint="default" w:ascii="仿宋_GB2312" w:hAnsi="等线" w:eastAsia="仿宋_GB2312" w:cs="仿宋_GB2312"/>
                <w:i w:val="0"/>
                <w:iCs w:val="0"/>
                <w:color w:val="000000"/>
                <w:sz w:val="20"/>
                <w:szCs w:val="20"/>
                <w:u w:val="none"/>
              </w:rPr>
            </w:pPr>
          </w:p>
        </w:tc>
        <w:tc>
          <w:tcPr>
            <w:tcW w:w="2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3DC85">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仪表电缆安装</w:t>
            </w:r>
          </w:p>
        </w:tc>
        <w:tc>
          <w:tcPr>
            <w:tcW w:w="2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5C343">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安装/电缆敷设施工</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0D97D">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1F3B8">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1</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9A477">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包工包辅料</w:t>
            </w:r>
          </w:p>
        </w:tc>
      </w:tr>
      <w:tr w14:paraId="1D02C9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69685">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20</w:t>
            </w:r>
          </w:p>
        </w:tc>
        <w:tc>
          <w:tcPr>
            <w:tcW w:w="8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DE584B">
            <w:pPr>
              <w:jc w:val="center"/>
              <w:rPr>
                <w:rFonts w:hint="default" w:ascii="仿宋_GB2312" w:hAnsi="等线" w:eastAsia="仿宋_GB2312" w:cs="仿宋_GB2312"/>
                <w:i w:val="0"/>
                <w:iCs w:val="0"/>
                <w:color w:val="000000"/>
                <w:sz w:val="20"/>
                <w:szCs w:val="20"/>
                <w:u w:val="none"/>
              </w:rPr>
            </w:pPr>
          </w:p>
        </w:tc>
        <w:tc>
          <w:tcPr>
            <w:tcW w:w="2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F99F3">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通信电缆</w:t>
            </w:r>
          </w:p>
        </w:tc>
        <w:tc>
          <w:tcPr>
            <w:tcW w:w="2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6B8CB">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modbus电缆</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59075">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米</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523B2">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600</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3A7A1">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包工包辅料</w:t>
            </w:r>
          </w:p>
        </w:tc>
      </w:tr>
      <w:tr w14:paraId="3F7212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4AE17">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21</w:t>
            </w:r>
          </w:p>
        </w:tc>
        <w:tc>
          <w:tcPr>
            <w:tcW w:w="8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74B558">
            <w:pPr>
              <w:jc w:val="center"/>
              <w:rPr>
                <w:rFonts w:hint="default" w:ascii="仿宋_GB2312" w:hAnsi="等线" w:eastAsia="仿宋_GB2312" w:cs="仿宋_GB2312"/>
                <w:i w:val="0"/>
                <w:iCs w:val="0"/>
                <w:color w:val="000000"/>
                <w:sz w:val="20"/>
                <w:szCs w:val="20"/>
                <w:u w:val="none"/>
              </w:rPr>
            </w:pPr>
          </w:p>
        </w:tc>
        <w:tc>
          <w:tcPr>
            <w:tcW w:w="2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AD956">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PLC通讯模块</w:t>
            </w:r>
          </w:p>
        </w:tc>
        <w:tc>
          <w:tcPr>
            <w:tcW w:w="2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4F547">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smart200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39492">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54671">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4</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B5224">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包工包辅料</w:t>
            </w:r>
          </w:p>
        </w:tc>
      </w:tr>
      <w:tr w14:paraId="01AEE2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08BE6">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22</w:t>
            </w:r>
          </w:p>
        </w:tc>
        <w:tc>
          <w:tcPr>
            <w:tcW w:w="8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4FB068">
            <w:pPr>
              <w:jc w:val="center"/>
              <w:rPr>
                <w:rFonts w:hint="default" w:ascii="仿宋_GB2312" w:hAnsi="等线" w:eastAsia="仿宋_GB2312" w:cs="仿宋_GB2312"/>
                <w:i w:val="0"/>
                <w:iCs w:val="0"/>
                <w:color w:val="000000"/>
                <w:sz w:val="20"/>
                <w:szCs w:val="20"/>
                <w:u w:val="none"/>
              </w:rPr>
            </w:pPr>
          </w:p>
        </w:tc>
        <w:tc>
          <w:tcPr>
            <w:tcW w:w="2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5CFBD">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工控机</w:t>
            </w:r>
          </w:p>
        </w:tc>
        <w:tc>
          <w:tcPr>
            <w:tcW w:w="2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BC514">
            <w:pPr>
              <w:jc w:val="center"/>
              <w:rPr>
                <w:rFonts w:hint="default" w:ascii="仿宋_GB2312" w:hAnsi="等线" w:eastAsia="仿宋_GB2312" w:cs="仿宋_GB2312"/>
                <w:i w:val="0"/>
                <w:iCs w:val="0"/>
                <w:color w:val="000000"/>
                <w:sz w:val="20"/>
                <w:szCs w:val="20"/>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CFEB9">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C7EF8">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1</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32513">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包工包辅料</w:t>
            </w:r>
          </w:p>
        </w:tc>
      </w:tr>
      <w:tr w14:paraId="57DE67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15A87">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23</w:t>
            </w:r>
          </w:p>
        </w:tc>
        <w:tc>
          <w:tcPr>
            <w:tcW w:w="8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90CFEC">
            <w:pPr>
              <w:jc w:val="center"/>
              <w:rPr>
                <w:rFonts w:hint="default" w:ascii="仿宋_GB2312" w:hAnsi="等线" w:eastAsia="仿宋_GB2312" w:cs="仿宋_GB2312"/>
                <w:i w:val="0"/>
                <w:iCs w:val="0"/>
                <w:color w:val="000000"/>
                <w:sz w:val="20"/>
                <w:szCs w:val="20"/>
                <w:u w:val="none"/>
              </w:rPr>
            </w:pPr>
          </w:p>
        </w:tc>
        <w:tc>
          <w:tcPr>
            <w:tcW w:w="2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B7F1E">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采集通信网关</w:t>
            </w:r>
          </w:p>
        </w:tc>
        <w:tc>
          <w:tcPr>
            <w:tcW w:w="2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66146">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巨控/映翰通</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EFEB4">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35A4C">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1</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9CA7D">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包工包辅料</w:t>
            </w:r>
          </w:p>
        </w:tc>
      </w:tr>
      <w:tr w14:paraId="26386D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0C51B">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24</w:t>
            </w:r>
          </w:p>
        </w:tc>
        <w:tc>
          <w:tcPr>
            <w:tcW w:w="8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01E6F6">
            <w:pPr>
              <w:jc w:val="center"/>
              <w:rPr>
                <w:rFonts w:hint="default" w:ascii="仿宋_GB2312" w:hAnsi="等线" w:eastAsia="仿宋_GB2312" w:cs="仿宋_GB2312"/>
                <w:i w:val="0"/>
                <w:iCs w:val="0"/>
                <w:color w:val="000000"/>
                <w:sz w:val="20"/>
                <w:szCs w:val="20"/>
                <w:u w:val="none"/>
              </w:rPr>
            </w:pPr>
          </w:p>
        </w:tc>
        <w:tc>
          <w:tcPr>
            <w:tcW w:w="2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7F5ED">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分支SDWAN设备</w:t>
            </w:r>
          </w:p>
        </w:tc>
        <w:tc>
          <w:tcPr>
            <w:tcW w:w="2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9D077">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天融信SDWAN设备</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6076D">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7E8E0">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1</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3CDDC">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包工包辅料</w:t>
            </w:r>
          </w:p>
        </w:tc>
      </w:tr>
      <w:tr w14:paraId="66C138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1D07E">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25</w:t>
            </w:r>
          </w:p>
        </w:tc>
        <w:tc>
          <w:tcPr>
            <w:tcW w:w="8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75FAE8">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红石崖泵站</w:t>
            </w:r>
          </w:p>
        </w:tc>
        <w:tc>
          <w:tcPr>
            <w:tcW w:w="2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7FD0F">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取水流量计</w:t>
            </w:r>
          </w:p>
        </w:tc>
        <w:tc>
          <w:tcPr>
            <w:tcW w:w="2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7A950">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上海泗博HART/MODBUS网关</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BC681">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ECA5C">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2</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6A495">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包工包辅料</w:t>
            </w:r>
          </w:p>
        </w:tc>
      </w:tr>
      <w:tr w14:paraId="6000AB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064BA">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26</w:t>
            </w:r>
          </w:p>
        </w:tc>
        <w:tc>
          <w:tcPr>
            <w:tcW w:w="8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4DC5AC">
            <w:pPr>
              <w:jc w:val="center"/>
              <w:rPr>
                <w:rFonts w:hint="default" w:ascii="仿宋_GB2312" w:hAnsi="等线" w:eastAsia="仿宋_GB2312" w:cs="仿宋_GB2312"/>
                <w:i w:val="0"/>
                <w:iCs w:val="0"/>
                <w:color w:val="000000"/>
                <w:sz w:val="20"/>
                <w:szCs w:val="20"/>
                <w:u w:val="none"/>
              </w:rPr>
            </w:pPr>
          </w:p>
        </w:tc>
        <w:tc>
          <w:tcPr>
            <w:tcW w:w="2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A1E66">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电缆</w:t>
            </w:r>
          </w:p>
        </w:tc>
        <w:tc>
          <w:tcPr>
            <w:tcW w:w="2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250CA">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安装/电缆敷设施工</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31202">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米</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7408E">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750</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9E420">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包工包辅料</w:t>
            </w:r>
          </w:p>
        </w:tc>
      </w:tr>
      <w:tr w14:paraId="6D462A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1ADB5">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27</w:t>
            </w:r>
          </w:p>
        </w:tc>
        <w:tc>
          <w:tcPr>
            <w:tcW w:w="8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79DFE4">
            <w:pPr>
              <w:jc w:val="center"/>
              <w:rPr>
                <w:rFonts w:hint="default" w:ascii="仿宋_GB2312" w:hAnsi="等线" w:eastAsia="仿宋_GB2312" w:cs="仿宋_GB2312"/>
                <w:i w:val="0"/>
                <w:iCs w:val="0"/>
                <w:color w:val="000000"/>
                <w:sz w:val="20"/>
                <w:szCs w:val="20"/>
                <w:u w:val="none"/>
              </w:rPr>
            </w:pPr>
          </w:p>
        </w:tc>
        <w:tc>
          <w:tcPr>
            <w:tcW w:w="2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D5FC0">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PLC通讯模块</w:t>
            </w:r>
          </w:p>
        </w:tc>
        <w:tc>
          <w:tcPr>
            <w:tcW w:w="2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A2B18">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smart200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A0959">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8A13C">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1</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E324B">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包工包辅料</w:t>
            </w:r>
          </w:p>
        </w:tc>
      </w:tr>
      <w:tr w14:paraId="5780B1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86774">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28</w:t>
            </w:r>
          </w:p>
        </w:tc>
        <w:tc>
          <w:tcPr>
            <w:tcW w:w="8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3ACB08">
            <w:pPr>
              <w:jc w:val="center"/>
              <w:rPr>
                <w:rFonts w:hint="default" w:ascii="仿宋_GB2312" w:hAnsi="等线" w:eastAsia="仿宋_GB2312" w:cs="仿宋_GB2312"/>
                <w:i w:val="0"/>
                <w:iCs w:val="0"/>
                <w:color w:val="000000"/>
                <w:sz w:val="20"/>
                <w:szCs w:val="20"/>
                <w:u w:val="none"/>
              </w:rPr>
            </w:pPr>
          </w:p>
        </w:tc>
        <w:tc>
          <w:tcPr>
            <w:tcW w:w="2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3D251">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工控机</w:t>
            </w:r>
          </w:p>
        </w:tc>
        <w:tc>
          <w:tcPr>
            <w:tcW w:w="2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4551A">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wincc7.4</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8AA6A">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B0813">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1</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93D22">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包工包辅料</w:t>
            </w:r>
          </w:p>
        </w:tc>
      </w:tr>
      <w:tr w14:paraId="2352AE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5647F">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29</w:t>
            </w:r>
          </w:p>
        </w:tc>
        <w:tc>
          <w:tcPr>
            <w:tcW w:w="8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31B14D">
            <w:pPr>
              <w:jc w:val="center"/>
              <w:rPr>
                <w:rFonts w:hint="default" w:ascii="仿宋_GB2312" w:hAnsi="等线" w:eastAsia="仿宋_GB2312" w:cs="仿宋_GB2312"/>
                <w:i w:val="0"/>
                <w:iCs w:val="0"/>
                <w:color w:val="000000"/>
                <w:sz w:val="20"/>
                <w:szCs w:val="20"/>
                <w:u w:val="none"/>
              </w:rPr>
            </w:pPr>
          </w:p>
        </w:tc>
        <w:tc>
          <w:tcPr>
            <w:tcW w:w="2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ADB07">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采集通信网关</w:t>
            </w:r>
          </w:p>
        </w:tc>
        <w:tc>
          <w:tcPr>
            <w:tcW w:w="2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4F85B">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巨控/映翰通</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52125">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21840">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1</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22D73">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包工包辅料</w:t>
            </w:r>
          </w:p>
        </w:tc>
      </w:tr>
      <w:tr w14:paraId="348170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1BC2B">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30</w:t>
            </w:r>
          </w:p>
        </w:tc>
        <w:tc>
          <w:tcPr>
            <w:tcW w:w="8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E60006">
            <w:pPr>
              <w:jc w:val="center"/>
              <w:rPr>
                <w:rFonts w:hint="default" w:ascii="仿宋_GB2312" w:hAnsi="等线" w:eastAsia="仿宋_GB2312" w:cs="仿宋_GB2312"/>
                <w:i w:val="0"/>
                <w:iCs w:val="0"/>
                <w:color w:val="000000"/>
                <w:sz w:val="20"/>
                <w:szCs w:val="20"/>
                <w:u w:val="none"/>
              </w:rPr>
            </w:pPr>
          </w:p>
        </w:tc>
        <w:tc>
          <w:tcPr>
            <w:tcW w:w="2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FB709">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分支SDWAN设备</w:t>
            </w:r>
          </w:p>
        </w:tc>
        <w:tc>
          <w:tcPr>
            <w:tcW w:w="2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41E51">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天融信SDWAN设备</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0F87E">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个</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327AB">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1</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40D15">
            <w:pPr>
              <w:keepNext w:val="0"/>
              <w:keepLines w:val="0"/>
              <w:widowControl/>
              <w:suppressLineNumbers w:val="0"/>
              <w:jc w:val="center"/>
              <w:textAlignment w:val="center"/>
              <w:rPr>
                <w:rFonts w:hint="default" w:ascii="仿宋_GB2312" w:hAnsi="等线" w:eastAsia="仿宋_GB2312" w:cs="仿宋_GB2312"/>
                <w:i w:val="0"/>
                <w:iCs w:val="0"/>
                <w:color w:val="000000"/>
                <w:sz w:val="20"/>
                <w:szCs w:val="20"/>
                <w:u w:val="none"/>
              </w:rPr>
            </w:pPr>
            <w:r>
              <w:rPr>
                <w:rFonts w:hint="default" w:ascii="仿宋_GB2312" w:hAnsi="等线" w:eastAsia="仿宋_GB2312" w:cs="仿宋_GB2312"/>
                <w:i w:val="0"/>
                <w:iCs w:val="0"/>
                <w:snapToGrid w:val="0"/>
                <w:color w:val="000000"/>
                <w:kern w:val="0"/>
                <w:sz w:val="20"/>
                <w:szCs w:val="20"/>
                <w:u w:val="none"/>
                <w:lang w:val="en-US" w:eastAsia="zh-CN" w:bidi="ar"/>
              </w:rPr>
              <w:t>包工包辅料</w:t>
            </w:r>
          </w:p>
        </w:tc>
      </w:tr>
      <w:tr w14:paraId="3F3E7C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F89A3">
            <w:pPr>
              <w:keepNext w:val="0"/>
              <w:keepLines w:val="0"/>
              <w:widowControl/>
              <w:suppressLineNumbers w:val="0"/>
              <w:jc w:val="center"/>
              <w:textAlignment w:val="center"/>
              <w:rPr>
                <w:rFonts w:hint="default" w:ascii="仿宋_GB2312" w:hAnsi="等线" w:eastAsia="仿宋_GB2312" w:cs="仿宋_GB2312"/>
                <w:i w:val="0"/>
                <w:iCs w:val="0"/>
                <w:snapToGrid w:val="0"/>
                <w:color w:val="000000"/>
                <w:kern w:val="0"/>
                <w:sz w:val="20"/>
                <w:szCs w:val="20"/>
                <w:u w:val="none"/>
                <w:lang w:val="en-US" w:eastAsia="zh-CN" w:bidi="ar"/>
              </w:rPr>
            </w:pPr>
            <w:r>
              <w:rPr>
                <w:rFonts w:hint="eastAsia" w:ascii="仿宋_GB2312" w:hAnsi="等线" w:eastAsia="仿宋_GB2312" w:cs="仿宋_GB2312"/>
                <w:i w:val="0"/>
                <w:iCs w:val="0"/>
                <w:snapToGrid w:val="0"/>
                <w:color w:val="000000"/>
                <w:kern w:val="0"/>
                <w:sz w:val="20"/>
                <w:szCs w:val="20"/>
                <w:u w:val="none"/>
                <w:lang w:val="en-US" w:eastAsia="zh-CN" w:bidi="ar"/>
              </w:rPr>
              <w:t>31</w:t>
            </w:r>
          </w:p>
        </w:tc>
        <w:tc>
          <w:tcPr>
            <w:tcW w:w="34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7BDF9A5">
            <w:pPr>
              <w:keepNext w:val="0"/>
              <w:keepLines w:val="0"/>
              <w:widowControl/>
              <w:suppressLineNumbers w:val="0"/>
              <w:jc w:val="center"/>
              <w:textAlignment w:val="center"/>
              <w:rPr>
                <w:rFonts w:hint="default" w:ascii="仿宋_GB2312" w:hAnsi="等线" w:eastAsia="仿宋_GB2312" w:cs="仿宋_GB2312"/>
                <w:i w:val="0"/>
                <w:iCs w:val="0"/>
                <w:snapToGrid w:val="0"/>
                <w:color w:val="000000"/>
                <w:kern w:val="0"/>
                <w:sz w:val="20"/>
                <w:szCs w:val="20"/>
                <w:u w:val="none"/>
                <w:lang w:val="en-US" w:eastAsia="zh-CN" w:bidi="ar"/>
              </w:rPr>
            </w:pPr>
            <w:r>
              <w:rPr>
                <w:rFonts w:hint="eastAsia" w:ascii="仿宋_GB2312" w:hAnsi="等线" w:eastAsia="仿宋_GB2312" w:cs="仿宋_GB2312"/>
                <w:b/>
                <w:bCs/>
                <w:i w:val="0"/>
                <w:iCs w:val="0"/>
                <w:snapToGrid w:val="0"/>
                <w:color w:val="000000"/>
                <w:kern w:val="0"/>
                <w:sz w:val="18"/>
                <w:szCs w:val="18"/>
                <w:u w:val="none"/>
                <w:lang w:val="en-US" w:eastAsia="zh-CN" w:bidi="ar"/>
              </w:rPr>
              <w:t>两厂两站wicc系统升级及数据录入费</w:t>
            </w:r>
          </w:p>
        </w:tc>
        <w:tc>
          <w:tcPr>
            <w:tcW w:w="2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E9026">
            <w:pPr>
              <w:keepNext w:val="0"/>
              <w:keepLines w:val="0"/>
              <w:widowControl/>
              <w:suppressLineNumbers w:val="0"/>
              <w:jc w:val="center"/>
              <w:textAlignment w:val="center"/>
              <w:rPr>
                <w:rFonts w:hint="default" w:ascii="仿宋_GB2312" w:hAnsi="等线" w:eastAsia="仿宋_GB2312" w:cs="仿宋_GB2312"/>
                <w:i w:val="0"/>
                <w:iCs w:val="0"/>
                <w:snapToGrid w:val="0"/>
                <w:color w:val="000000"/>
                <w:kern w:val="0"/>
                <w:sz w:val="20"/>
                <w:szCs w:val="20"/>
                <w:u w:val="none"/>
                <w:lang w:val="en-US" w:eastAsia="zh-CN" w:bidi="ar"/>
              </w:rPr>
            </w:pPr>
            <w:r>
              <w:rPr>
                <w:rFonts w:hint="default" w:ascii="仿宋_GB2312" w:hAnsi="等线" w:eastAsia="仿宋_GB2312" w:cs="仿宋_GB2312"/>
                <w:b/>
                <w:bCs/>
                <w:i w:val="0"/>
                <w:iCs w:val="0"/>
                <w:snapToGrid w:val="0"/>
                <w:color w:val="000000"/>
                <w:kern w:val="0"/>
                <w:sz w:val="20"/>
                <w:szCs w:val="20"/>
                <w:u w:val="none"/>
                <w:lang w:val="en-US" w:eastAsia="zh-CN" w:bidi="ar"/>
              </w:rPr>
              <w:t>wincc 7.4</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1A24B">
            <w:pPr>
              <w:keepNext w:val="0"/>
              <w:keepLines w:val="0"/>
              <w:widowControl/>
              <w:suppressLineNumbers w:val="0"/>
              <w:jc w:val="center"/>
              <w:textAlignment w:val="center"/>
              <w:rPr>
                <w:rFonts w:hint="default" w:ascii="仿宋_GB2312" w:hAnsi="等线" w:eastAsia="仿宋_GB2312" w:cs="仿宋_GB2312"/>
                <w:i w:val="0"/>
                <w:iCs w:val="0"/>
                <w:snapToGrid w:val="0"/>
                <w:color w:val="000000"/>
                <w:kern w:val="0"/>
                <w:sz w:val="20"/>
                <w:szCs w:val="20"/>
                <w:u w:val="none"/>
                <w:lang w:val="en-US" w:eastAsia="zh-CN" w:bidi="ar"/>
              </w:rPr>
            </w:pPr>
            <w:r>
              <w:rPr>
                <w:rFonts w:hint="eastAsia" w:ascii="仿宋_GB2312" w:hAnsi="等线" w:eastAsia="仿宋_GB2312" w:cs="仿宋_GB2312"/>
                <w:i w:val="0"/>
                <w:iCs w:val="0"/>
                <w:snapToGrid w:val="0"/>
                <w:color w:val="000000"/>
                <w:kern w:val="0"/>
                <w:sz w:val="20"/>
                <w:szCs w:val="20"/>
                <w:u w:val="none"/>
                <w:lang w:val="en-US" w:eastAsia="zh-CN" w:bidi="ar"/>
              </w:rPr>
              <w:t>项</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76745">
            <w:pPr>
              <w:keepNext w:val="0"/>
              <w:keepLines w:val="0"/>
              <w:widowControl/>
              <w:suppressLineNumbers w:val="0"/>
              <w:jc w:val="center"/>
              <w:textAlignment w:val="center"/>
              <w:rPr>
                <w:rFonts w:hint="default" w:ascii="仿宋_GB2312" w:hAnsi="等线" w:eastAsia="仿宋_GB2312" w:cs="仿宋_GB2312"/>
                <w:i w:val="0"/>
                <w:iCs w:val="0"/>
                <w:snapToGrid w:val="0"/>
                <w:color w:val="000000"/>
                <w:kern w:val="0"/>
                <w:sz w:val="20"/>
                <w:szCs w:val="20"/>
                <w:u w:val="none"/>
                <w:lang w:val="en-US" w:eastAsia="zh-CN" w:bidi="ar"/>
              </w:rPr>
            </w:pPr>
            <w:r>
              <w:rPr>
                <w:rFonts w:hint="eastAsia" w:ascii="仿宋_GB2312" w:hAnsi="等线" w:eastAsia="仿宋_GB2312" w:cs="仿宋_GB2312"/>
                <w:i w:val="0"/>
                <w:iCs w:val="0"/>
                <w:snapToGrid w:val="0"/>
                <w:color w:val="000000"/>
                <w:kern w:val="0"/>
                <w:sz w:val="20"/>
                <w:szCs w:val="20"/>
                <w:u w:val="none"/>
                <w:lang w:val="en-US" w:eastAsia="zh-CN" w:bidi="ar"/>
              </w:rPr>
              <w:t>1</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F67D1">
            <w:pPr>
              <w:keepNext w:val="0"/>
              <w:keepLines w:val="0"/>
              <w:widowControl/>
              <w:suppressLineNumbers w:val="0"/>
              <w:jc w:val="center"/>
              <w:textAlignment w:val="center"/>
              <w:rPr>
                <w:rFonts w:hint="default" w:ascii="仿宋_GB2312" w:hAnsi="等线" w:eastAsia="仿宋_GB2312" w:cs="仿宋_GB2312"/>
                <w:i w:val="0"/>
                <w:iCs w:val="0"/>
                <w:snapToGrid w:val="0"/>
                <w:color w:val="000000"/>
                <w:kern w:val="0"/>
                <w:sz w:val="20"/>
                <w:szCs w:val="20"/>
                <w:u w:val="none"/>
                <w:lang w:val="en-US" w:eastAsia="zh-CN" w:bidi="ar"/>
              </w:rPr>
            </w:pPr>
          </w:p>
        </w:tc>
      </w:tr>
      <w:tr w14:paraId="49BF9C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70" w:hRule="atLeast"/>
        </w:trPr>
        <w:tc>
          <w:tcPr>
            <w:tcW w:w="10303"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7F682274">
            <w:pPr>
              <w:keepNext w:val="0"/>
              <w:keepLines w:val="0"/>
              <w:widowControl/>
              <w:suppressLineNumbers w:val="0"/>
              <w:jc w:val="left"/>
              <w:textAlignment w:val="center"/>
              <w:rPr>
                <w:rFonts w:hint="default" w:ascii="仿宋_GB2312" w:hAnsi="等线" w:eastAsia="仿宋_GB2312" w:cs="仿宋_GB2312"/>
                <w:b/>
                <w:bCs/>
                <w:i w:val="0"/>
                <w:iCs w:val="0"/>
                <w:color w:val="000000"/>
                <w:sz w:val="28"/>
                <w:szCs w:val="28"/>
                <w:u w:val="none"/>
                <w:lang w:val="en-US"/>
              </w:rPr>
            </w:pPr>
            <w:r>
              <w:rPr>
                <w:rFonts w:hint="default" w:ascii="仿宋_GB2312" w:hAnsi="等线" w:eastAsia="仿宋_GB2312" w:cs="仿宋_GB2312"/>
                <w:b/>
                <w:bCs/>
                <w:i w:val="0"/>
                <w:iCs w:val="0"/>
                <w:snapToGrid w:val="0"/>
                <w:color w:val="000000"/>
                <w:kern w:val="0"/>
                <w:sz w:val="28"/>
                <w:szCs w:val="28"/>
                <w:u w:val="none"/>
                <w:lang w:val="en-US" w:eastAsia="zh-CN" w:bidi="ar"/>
              </w:rPr>
              <w:t>以上待安装设备安装费</w:t>
            </w:r>
            <w:r>
              <w:rPr>
                <w:rFonts w:hint="eastAsia" w:ascii="仿宋_GB2312" w:hAnsi="等线" w:eastAsia="仿宋_GB2312" w:cs="仿宋_GB2312"/>
                <w:b/>
                <w:bCs/>
                <w:i w:val="0"/>
                <w:iCs w:val="0"/>
                <w:snapToGrid w:val="0"/>
                <w:color w:val="000000"/>
                <w:kern w:val="0"/>
                <w:sz w:val="28"/>
                <w:szCs w:val="28"/>
                <w:u w:val="none"/>
                <w:lang w:val="en-US" w:eastAsia="zh-CN" w:bidi="ar"/>
              </w:rPr>
              <w:t>（第1至30项）</w:t>
            </w:r>
            <w:r>
              <w:rPr>
                <w:rFonts w:hint="default" w:ascii="仿宋_GB2312" w:hAnsi="等线" w:eastAsia="仿宋_GB2312" w:cs="仿宋_GB2312"/>
                <w:b/>
                <w:bCs/>
                <w:i w:val="0"/>
                <w:iCs w:val="0"/>
                <w:snapToGrid w:val="0"/>
                <w:color w:val="000000"/>
                <w:kern w:val="0"/>
                <w:sz w:val="28"/>
                <w:szCs w:val="28"/>
                <w:u w:val="none"/>
                <w:lang w:val="en-US" w:eastAsia="zh-CN" w:bidi="ar"/>
              </w:rPr>
              <w:t>合计</w:t>
            </w:r>
            <w:r>
              <w:rPr>
                <w:rFonts w:hint="eastAsia" w:ascii="仿宋_GB2312" w:hAnsi="等线" w:eastAsia="仿宋_GB2312" w:cs="仿宋_GB2312"/>
                <w:b/>
                <w:bCs/>
                <w:i w:val="0"/>
                <w:iCs w:val="0"/>
                <w:snapToGrid w:val="0"/>
                <w:color w:val="000000"/>
                <w:kern w:val="0"/>
                <w:sz w:val="28"/>
                <w:szCs w:val="28"/>
                <w:u w:val="none"/>
                <w:lang w:val="en-US" w:eastAsia="zh-CN" w:bidi="ar"/>
              </w:rPr>
              <w:t>报价</w:t>
            </w:r>
            <w:r>
              <w:rPr>
                <w:rFonts w:hint="default" w:ascii="仿宋_GB2312" w:hAnsi="等线" w:eastAsia="仿宋_GB2312" w:cs="仿宋_GB2312"/>
                <w:b/>
                <w:bCs/>
                <w:i w:val="0"/>
                <w:iCs w:val="0"/>
                <w:snapToGrid w:val="0"/>
                <w:color w:val="000000"/>
                <w:kern w:val="0"/>
                <w:sz w:val="28"/>
                <w:szCs w:val="28"/>
                <w:u w:val="none"/>
                <w:lang w:val="en-US" w:eastAsia="zh-CN" w:bidi="ar"/>
              </w:rPr>
              <w:t>：人民币</w:t>
            </w:r>
            <w:r>
              <w:rPr>
                <w:rFonts w:hint="eastAsia" w:ascii="仿宋_GB2312" w:hAnsi="等线" w:eastAsia="仿宋_GB2312" w:cs="仿宋_GB2312"/>
                <w:b/>
                <w:bCs/>
                <w:i w:val="0"/>
                <w:iCs w:val="0"/>
                <w:snapToGrid w:val="0"/>
                <w:color w:val="000000"/>
                <w:kern w:val="0"/>
                <w:sz w:val="28"/>
                <w:szCs w:val="28"/>
                <w:u w:val="single"/>
                <w:lang w:val="en-US" w:eastAsia="zh-CN" w:bidi="ar"/>
              </w:rPr>
              <w:t xml:space="preserve">               </w:t>
            </w:r>
            <w:r>
              <w:rPr>
                <w:rFonts w:hint="default" w:ascii="仿宋_GB2312" w:hAnsi="等线" w:eastAsia="仿宋_GB2312" w:cs="仿宋_GB2312"/>
                <w:b/>
                <w:bCs/>
                <w:i w:val="0"/>
                <w:iCs w:val="0"/>
                <w:snapToGrid w:val="0"/>
                <w:color w:val="000000"/>
                <w:kern w:val="0"/>
                <w:sz w:val="28"/>
                <w:szCs w:val="28"/>
                <w:u w:val="none"/>
                <w:lang w:val="en-US" w:eastAsia="zh-CN" w:bidi="ar"/>
              </w:rPr>
              <w:t>元整</w:t>
            </w:r>
            <w:r>
              <w:rPr>
                <w:rFonts w:hint="eastAsia" w:ascii="仿宋_GB2312" w:hAnsi="等线" w:eastAsia="仿宋_GB2312" w:cs="仿宋_GB2312"/>
                <w:b/>
                <w:bCs/>
                <w:i w:val="0"/>
                <w:iCs w:val="0"/>
                <w:snapToGrid w:val="0"/>
                <w:color w:val="000000"/>
                <w:kern w:val="0"/>
                <w:sz w:val="28"/>
                <w:szCs w:val="28"/>
                <w:u w:val="none"/>
                <w:lang w:val="en-US" w:eastAsia="zh-CN" w:bidi="ar"/>
              </w:rPr>
              <w:t>，人民币大写</w:t>
            </w:r>
            <w:r>
              <w:rPr>
                <w:rFonts w:hint="eastAsia" w:ascii="仿宋_GB2312" w:hAnsi="等线" w:eastAsia="仿宋_GB2312" w:cs="仿宋_GB2312"/>
                <w:b/>
                <w:bCs/>
                <w:i w:val="0"/>
                <w:iCs w:val="0"/>
                <w:snapToGrid w:val="0"/>
                <w:color w:val="000000"/>
                <w:kern w:val="0"/>
                <w:sz w:val="28"/>
                <w:szCs w:val="28"/>
                <w:u w:val="single"/>
                <w:lang w:val="en-US" w:eastAsia="zh-CN" w:bidi="ar"/>
              </w:rPr>
              <w:t xml:space="preserve">           </w:t>
            </w:r>
            <w:r>
              <w:rPr>
                <w:rFonts w:hint="eastAsia" w:ascii="仿宋_GB2312" w:hAnsi="等线" w:eastAsia="仿宋_GB2312" w:cs="仿宋_GB2312"/>
                <w:b/>
                <w:bCs/>
                <w:i w:val="0"/>
                <w:iCs w:val="0"/>
                <w:snapToGrid w:val="0"/>
                <w:color w:val="000000"/>
                <w:kern w:val="0"/>
                <w:sz w:val="28"/>
                <w:szCs w:val="28"/>
                <w:u w:val="none"/>
                <w:lang w:val="en-US" w:eastAsia="zh-CN" w:bidi="ar"/>
              </w:rPr>
              <w:t>元整。</w:t>
            </w:r>
          </w:p>
        </w:tc>
      </w:tr>
      <w:tr w14:paraId="4B9B47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6" w:hRule="atLeast"/>
        </w:trPr>
        <w:tc>
          <w:tcPr>
            <w:tcW w:w="10303"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642B3B39">
            <w:pPr>
              <w:keepNext w:val="0"/>
              <w:keepLines w:val="0"/>
              <w:widowControl/>
              <w:suppressLineNumbers w:val="0"/>
              <w:jc w:val="left"/>
              <w:textAlignment w:val="center"/>
              <w:rPr>
                <w:rFonts w:hint="default" w:ascii="仿宋_GB2312" w:hAnsi="等线" w:eastAsia="仿宋_GB2312" w:cs="仿宋_GB2312"/>
                <w:b/>
                <w:bCs/>
                <w:i w:val="0"/>
                <w:iCs w:val="0"/>
                <w:snapToGrid w:val="0"/>
                <w:color w:val="000000"/>
                <w:kern w:val="0"/>
                <w:sz w:val="28"/>
                <w:szCs w:val="28"/>
                <w:u w:val="none"/>
                <w:lang w:val="en-US" w:eastAsia="zh-CN" w:bidi="ar"/>
              </w:rPr>
            </w:pPr>
            <w:r>
              <w:rPr>
                <w:rFonts w:hint="eastAsia" w:ascii="仿宋_GB2312" w:hAnsi="等线" w:eastAsia="仿宋_GB2312" w:cs="仿宋_GB2312"/>
                <w:b/>
                <w:bCs/>
                <w:i w:val="0"/>
                <w:iCs w:val="0"/>
                <w:snapToGrid w:val="0"/>
                <w:color w:val="000000"/>
                <w:kern w:val="0"/>
                <w:sz w:val="28"/>
                <w:szCs w:val="28"/>
                <w:u w:val="none"/>
                <w:lang w:val="en-US" w:eastAsia="zh-CN" w:bidi="ar"/>
              </w:rPr>
              <w:t>第31项报</w:t>
            </w:r>
            <w:r>
              <w:rPr>
                <w:rFonts w:hint="default" w:ascii="仿宋_GB2312" w:hAnsi="等线" w:eastAsia="仿宋_GB2312" w:cs="仿宋_GB2312"/>
                <w:b/>
                <w:bCs/>
                <w:i w:val="0"/>
                <w:iCs w:val="0"/>
                <w:snapToGrid w:val="0"/>
                <w:color w:val="000000"/>
                <w:kern w:val="0"/>
                <w:sz w:val="28"/>
                <w:szCs w:val="28"/>
                <w:u w:val="none"/>
                <w:lang w:val="en-US" w:eastAsia="zh-CN" w:bidi="ar"/>
              </w:rPr>
              <w:t>价：人民币</w:t>
            </w:r>
            <w:r>
              <w:rPr>
                <w:rFonts w:hint="eastAsia" w:ascii="仿宋_GB2312" w:hAnsi="等线" w:eastAsia="仿宋_GB2312" w:cs="仿宋_GB2312"/>
                <w:b/>
                <w:bCs/>
                <w:i w:val="0"/>
                <w:iCs w:val="0"/>
                <w:snapToGrid w:val="0"/>
                <w:color w:val="000000"/>
                <w:kern w:val="0"/>
                <w:sz w:val="28"/>
                <w:szCs w:val="28"/>
                <w:u w:val="single"/>
                <w:lang w:val="en-US" w:eastAsia="zh-CN" w:bidi="ar"/>
              </w:rPr>
              <w:t xml:space="preserve">               </w:t>
            </w:r>
            <w:r>
              <w:rPr>
                <w:rFonts w:hint="default" w:ascii="仿宋_GB2312" w:hAnsi="等线" w:eastAsia="仿宋_GB2312" w:cs="仿宋_GB2312"/>
                <w:b/>
                <w:bCs/>
                <w:i w:val="0"/>
                <w:iCs w:val="0"/>
                <w:snapToGrid w:val="0"/>
                <w:color w:val="000000"/>
                <w:kern w:val="0"/>
                <w:sz w:val="28"/>
                <w:szCs w:val="28"/>
                <w:u w:val="none"/>
                <w:lang w:val="en-US" w:eastAsia="zh-CN" w:bidi="ar"/>
              </w:rPr>
              <w:t>元整</w:t>
            </w:r>
            <w:r>
              <w:rPr>
                <w:rFonts w:hint="eastAsia" w:ascii="仿宋_GB2312" w:hAnsi="等线" w:eastAsia="仿宋_GB2312" w:cs="仿宋_GB2312"/>
                <w:b/>
                <w:bCs/>
                <w:i w:val="0"/>
                <w:iCs w:val="0"/>
                <w:snapToGrid w:val="0"/>
                <w:color w:val="000000"/>
                <w:kern w:val="0"/>
                <w:sz w:val="28"/>
                <w:szCs w:val="28"/>
                <w:u w:val="none"/>
                <w:lang w:val="en-US" w:eastAsia="zh-CN" w:bidi="ar"/>
              </w:rPr>
              <w:t>，人民币大写</w:t>
            </w:r>
            <w:r>
              <w:rPr>
                <w:rFonts w:hint="eastAsia" w:ascii="仿宋_GB2312" w:hAnsi="等线" w:eastAsia="仿宋_GB2312" w:cs="仿宋_GB2312"/>
                <w:b/>
                <w:bCs/>
                <w:i w:val="0"/>
                <w:iCs w:val="0"/>
                <w:snapToGrid w:val="0"/>
                <w:color w:val="000000"/>
                <w:kern w:val="0"/>
                <w:sz w:val="28"/>
                <w:szCs w:val="28"/>
                <w:u w:val="single"/>
                <w:lang w:val="en-US" w:eastAsia="zh-CN" w:bidi="ar"/>
              </w:rPr>
              <w:t xml:space="preserve">               </w:t>
            </w:r>
            <w:r>
              <w:rPr>
                <w:rFonts w:hint="eastAsia" w:ascii="仿宋_GB2312" w:hAnsi="等线" w:eastAsia="仿宋_GB2312" w:cs="仿宋_GB2312"/>
                <w:b/>
                <w:bCs/>
                <w:i w:val="0"/>
                <w:iCs w:val="0"/>
                <w:snapToGrid w:val="0"/>
                <w:color w:val="000000"/>
                <w:kern w:val="0"/>
                <w:sz w:val="28"/>
                <w:szCs w:val="28"/>
                <w:u w:val="none"/>
                <w:lang w:val="en-US" w:eastAsia="zh-CN" w:bidi="ar"/>
              </w:rPr>
              <w:t>元整。</w:t>
            </w:r>
          </w:p>
        </w:tc>
      </w:tr>
    </w:tbl>
    <w:p w14:paraId="7C2F28B0">
      <w:pPr>
        <w:pStyle w:val="8"/>
        <w:spacing w:before="237" w:line="220" w:lineRule="auto"/>
        <w:ind w:left="1949"/>
        <w:rPr>
          <w:b/>
          <w:bCs/>
          <w:spacing w:val="-3"/>
          <w:sz w:val="21"/>
          <w:szCs w:val="21"/>
          <w:highlight w:val="none"/>
        </w:rPr>
      </w:pPr>
    </w:p>
    <w:p w14:paraId="005650EB">
      <w:pPr>
        <w:pStyle w:val="8"/>
        <w:spacing w:before="237" w:line="220" w:lineRule="auto"/>
        <w:rPr>
          <w:sz w:val="21"/>
          <w:szCs w:val="21"/>
          <w:highlight w:val="none"/>
        </w:rPr>
      </w:pPr>
      <w:r>
        <w:rPr>
          <w:b/>
          <w:bCs/>
          <w:spacing w:val="-3"/>
          <w:sz w:val="21"/>
          <w:szCs w:val="21"/>
          <w:highlight w:val="none"/>
        </w:rPr>
        <w:t>注：投标人不得调整</w:t>
      </w:r>
      <w:r>
        <w:rPr>
          <w:rFonts w:hint="eastAsia"/>
          <w:b/>
          <w:bCs/>
          <w:spacing w:val="-3"/>
          <w:sz w:val="21"/>
          <w:szCs w:val="21"/>
          <w:highlight w:val="none"/>
          <w:lang w:val="en-US" w:eastAsia="zh-CN"/>
        </w:rPr>
        <w:t>设备清单</w:t>
      </w:r>
      <w:r>
        <w:rPr>
          <w:b/>
          <w:bCs/>
          <w:spacing w:val="-3"/>
          <w:sz w:val="21"/>
          <w:szCs w:val="21"/>
          <w:highlight w:val="none"/>
        </w:rPr>
        <w:t>中设备</w:t>
      </w:r>
      <w:r>
        <w:rPr>
          <w:rFonts w:hint="eastAsia"/>
          <w:b/>
          <w:bCs/>
          <w:spacing w:val="-3"/>
          <w:sz w:val="21"/>
          <w:szCs w:val="21"/>
          <w:highlight w:val="none"/>
          <w:lang w:val="en-US" w:eastAsia="zh-CN"/>
        </w:rPr>
        <w:t>规格、</w:t>
      </w:r>
      <w:r>
        <w:rPr>
          <w:b/>
          <w:bCs/>
          <w:spacing w:val="-3"/>
          <w:sz w:val="21"/>
          <w:szCs w:val="21"/>
          <w:highlight w:val="none"/>
        </w:rPr>
        <w:t>数量，否则作废标处理。</w:t>
      </w:r>
    </w:p>
    <w:p w14:paraId="551D1B07">
      <w:pPr>
        <w:widowControl w:val="0"/>
        <w:spacing w:line="240" w:lineRule="auto"/>
        <w:jc w:val="both"/>
        <w:outlineLvl w:val="1"/>
        <w:rPr>
          <w:rFonts w:hint="eastAsia" w:ascii="仿宋" w:hAnsi="仿宋" w:eastAsia="仿宋" w:cs="仿宋_GB2312"/>
          <w:b/>
          <w:bCs/>
          <w:sz w:val="28"/>
          <w:highlight w:val="none"/>
          <w:lang w:val="en-US" w:eastAsia="zh-CN"/>
        </w:rPr>
      </w:pPr>
    </w:p>
    <w:p w14:paraId="2BDAD92E">
      <w:pPr>
        <w:widowControl w:val="0"/>
        <w:spacing w:line="240" w:lineRule="auto"/>
        <w:ind w:firstLine="480"/>
        <w:jc w:val="center"/>
        <w:outlineLvl w:val="1"/>
        <w:rPr>
          <w:rFonts w:hint="eastAsia" w:ascii="仿宋" w:hAnsi="仿宋" w:eastAsia="仿宋" w:cs="仿宋_GB2312"/>
          <w:b/>
          <w:bCs/>
          <w:sz w:val="28"/>
          <w:highlight w:val="none"/>
          <w:lang w:val="en-US" w:eastAsia="zh-CN"/>
        </w:rPr>
      </w:pPr>
    </w:p>
    <w:p w14:paraId="1B5F7DAE">
      <w:pPr>
        <w:ind w:left="0" w:leftChars="0" w:firstLine="4216" w:firstLineChars="1500"/>
        <w:rPr>
          <w:rFonts w:ascii="仿宋" w:hAnsi="仿宋" w:eastAsia="仿宋"/>
          <w:b/>
          <w:color w:val="000000"/>
          <w:sz w:val="24"/>
          <w:highlight w:val="none"/>
        </w:rPr>
      </w:pPr>
      <w:r>
        <w:rPr>
          <w:rFonts w:hint="eastAsia" w:ascii="仿宋" w:hAnsi="仿宋" w:eastAsia="仿宋" w:cs="仿宋_GB2312"/>
          <w:b/>
          <w:bCs/>
          <w:sz w:val="28"/>
          <w:highlight w:val="none"/>
          <w:lang w:val="en-US" w:eastAsia="zh-CN"/>
        </w:rPr>
        <w:t>10.</w:t>
      </w:r>
      <w:bookmarkEnd w:id="74"/>
      <w:bookmarkEnd w:id="75"/>
      <w:bookmarkEnd w:id="76"/>
      <w:bookmarkEnd w:id="77"/>
      <w:bookmarkEnd w:id="78"/>
      <w:bookmarkEnd w:id="79"/>
      <w:bookmarkEnd w:id="80"/>
      <w:bookmarkEnd w:id="81"/>
      <w:bookmarkEnd w:id="82"/>
      <w:bookmarkEnd w:id="83"/>
      <w:bookmarkEnd w:id="84"/>
      <w:bookmarkEnd w:id="85"/>
      <w:bookmarkEnd w:id="86"/>
      <w:r>
        <w:rPr>
          <w:rFonts w:hint="eastAsia" w:ascii="仿宋" w:hAnsi="仿宋" w:eastAsia="仿宋" w:cs="仿宋_GB2312"/>
          <w:b/>
          <w:bCs/>
          <w:sz w:val="28"/>
          <w:highlight w:val="none"/>
        </w:rPr>
        <w:t>合作商基本情况表</w:t>
      </w:r>
    </w:p>
    <w:tbl>
      <w:tblPr>
        <w:tblStyle w:val="17"/>
        <w:tblpPr w:leftFromText="180" w:rightFromText="180" w:vertAnchor="text" w:horzAnchor="page" w:tblpX="1268" w:tblpY="798"/>
        <w:tblOverlap w:val="never"/>
        <w:tblW w:w="9735" w:type="dxa"/>
        <w:tblInd w:w="0" w:type="dxa"/>
        <w:tblLayout w:type="autofit"/>
        <w:tblCellMar>
          <w:top w:w="0" w:type="dxa"/>
          <w:left w:w="108" w:type="dxa"/>
          <w:bottom w:w="0" w:type="dxa"/>
          <w:right w:w="108" w:type="dxa"/>
        </w:tblCellMar>
      </w:tblPr>
      <w:tblGrid>
        <w:gridCol w:w="1680"/>
        <w:gridCol w:w="3075"/>
        <w:gridCol w:w="2085"/>
        <w:gridCol w:w="2895"/>
      </w:tblGrid>
      <w:tr w14:paraId="2BAB9359">
        <w:tblPrEx>
          <w:tblCellMar>
            <w:top w:w="0" w:type="dxa"/>
            <w:left w:w="108" w:type="dxa"/>
            <w:bottom w:w="0" w:type="dxa"/>
            <w:right w:w="108" w:type="dxa"/>
          </w:tblCellMar>
        </w:tblPrEx>
        <w:trPr>
          <w:trHeight w:val="900" w:hRule="atLeast"/>
        </w:trPr>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97810">
            <w:pPr>
              <w:widowControl/>
              <w:textAlignment w:val="center"/>
              <w:rPr>
                <w:rFonts w:ascii="仿宋" w:hAnsi="仿宋" w:eastAsia="仿宋" w:cs="仿宋"/>
                <w:color w:val="000000"/>
                <w:sz w:val="24"/>
                <w:highlight w:val="none"/>
              </w:rPr>
            </w:pPr>
            <w:r>
              <w:rPr>
                <w:rFonts w:hint="eastAsia" w:ascii="仿宋" w:hAnsi="仿宋" w:eastAsia="仿宋" w:cs="仿宋"/>
                <w:color w:val="000000"/>
                <w:kern w:val="0"/>
                <w:sz w:val="24"/>
                <w:highlight w:val="none"/>
              </w:rPr>
              <w:t>供应商名称</w:t>
            </w:r>
          </w:p>
        </w:tc>
        <w:tc>
          <w:tcPr>
            <w:tcW w:w="80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CABA9B5">
            <w:pPr>
              <w:widowControl/>
              <w:jc w:val="center"/>
              <w:textAlignment w:val="center"/>
              <w:rPr>
                <w:rFonts w:ascii="仿宋" w:hAnsi="仿宋" w:eastAsia="仿宋" w:cs="仿宋"/>
                <w:color w:val="000000"/>
                <w:sz w:val="24"/>
                <w:highlight w:val="none"/>
              </w:rPr>
            </w:pPr>
          </w:p>
        </w:tc>
      </w:tr>
      <w:tr w14:paraId="2CECEAA6">
        <w:tblPrEx>
          <w:tblCellMar>
            <w:top w:w="0" w:type="dxa"/>
            <w:left w:w="108" w:type="dxa"/>
            <w:bottom w:w="0" w:type="dxa"/>
            <w:right w:w="108" w:type="dxa"/>
          </w:tblCellMar>
        </w:tblPrEx>
        <w:trPr>
          <w:trHeight w:val="900" w:hRule="atLeast"/>
        </w:trPr>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43A8C">
            <w:pPr>
              <w:widowControl/>
              <w:textAlignment w:val="center"/>
              <w:rPr>
                <w:rFonts w:ascii="仿宋" w:hAnsi="仿宋" w:eastAsia="仿宋" w:cs="仿宋"/>
                <w:color w:val="000000"/>
                <w:sz w:val="24"/>
                <w:highlight w:val="none"/>
              </w:rPr>
            </w:pPr>
            <w:r>
              <w:rPr>
                <w:rFonts w:hint="eastAsia" w:ascii="仿宋" w:hAnsi="仿宋" w:eastAsia="仿宋" w:cs="仿宋"/>
                <w:color w:val="000000"/>
                <w:kern w:val="0"/>
                <w:sz w:val="24"/>
                <w:highlight w:val="none"/>
              </w:rPr>
              <w:t>法人代表</w:t>
            </w:r>
          </w:p>
        </w:tc>
        <w:tc>
          <w:tcPr>
            <w:tcW w:w="3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DF85D">
            <w:pPr>
              <w:widowControl/>
              <w:jc w:val="center"/>
              <w:textAlignment w:val="center"/>
              <w:rPr>
                <w:rFonts w:ascii="仿宋" w:hAnsi="仿宋" w:eastAsia="仿宋" w:cs="仿宋"/>
                <w:color w:val="000000"/>
                <w:sz w:val="24"/>
                <w:highlight w:val="none"/>
              </w:rPr>
            </w:pP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EC56A">
            <w:pPr>
              <w:widowControl/>
              <w:textAlignment w:val="center"/>
              <w:rPr>
                <w:rFonts w:ascii="仿宋" w:hAnsi="仿宋" w:eastAsia="仿宋" w:cs="仿宋"/>
                <w:color w:val="000000"/>
                <w:sz w:val="24"/>
                <w:highlight w:val="none"/>
              </w:rPr>
            </w:pPr>
            <w:r>
              <w:rPr>
                <w:rFonts w:hint="eastAsia" w:ascii="仿宋" w:hAnsi="仿宋" w:eastAsia="仿宋" w:cs="仿宋"/>
                <w:color w:val="000000"/>
                <w:kern w:val="0"/>
                <w:sz w:val="24"/>
                <w:highlight w:val="none"/>
              </w:rPr>
              <w:t>注册资金（万元）</w:t>
            </w:r>
          </w:p>
        </w:tc>
        <w:tc>
          <w:tcPr>
            <w:tcW w:w="2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C411B">
            <w:pPr>
              <w:widowControl/>
              <w:jc w:val="center"/>
              <w:textAlignment w:val="center"/>
              <w:rPr>
                <w:rFonts w:ascii="仿宋" w:hAnsi="仿宋" w:eastAsia="仿宋" w:cs="仿宋"/>
                <w:color w:val="000000"/>
                <w:sz w:val="24"/>
                <w:highlight w:val="none"/>
              </w:rPr>
            </w:pPr>
          </w:p>
        </w:tc>
      </w:tr>
      <w:tr w14:paraId="3146C6D4">
        <w:tblPrEx>
          <w:tblCellMar>
            <w:top w:w="0" w:type="dxa"/>
            <w:left w:w="108" w:type="dxa"/>
            <w:bottom w:w="0" w:type="dxa"/>
            <w:right w:w="108" w:type="dxa"/>
          </w:tblCellMar>
        </w:tblPrEx>
        <w:trPr>
          <w:trHeight w:val="900" w:hRule="atLeast"/>
        </w:trPr>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18C30">
            <w:pPr>
              <w:widowControl/>
              <w:textAlignment w:val="center"/>
              <w:rPr>
                <w:rFonts w:ascii="仿宋" w:hAnsi="仿宋" w:eastAsia="仿宋" w:cs="仿宋"/>
                <w:color w:val="000000"/>
                <w:sz w:val="24"/>
                <w:highlight w:val="none"/>
              </w:rPr>
            </w:pPr>
            <w:r>
              <w:rPr>
                <w:rFonts w:hint="eastAsia" w:ascii="仿宋" w:hAnsi="仿宋" w:eastAsia="仿宋" w:cs="仿宋"/>
                <w:color w:val="000000"/>
                <w:kern w:val="0"/>
                <w:sz w:val="24"/>
                <w:highlight w:val="none"/>
              </w:rPr>
              <w:t>注册地址</w:t>
            </w:r>
          </w:p>
        </w:tc>
        <w:tc>
          <w:tcPr>
            <w:tcW w:w="3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1E457">
            <w:pPr>
              <w:widowControl/>
              <w:jc w:val="center"/>
              <w:textAlignment w:val="center"/>
              <w:rPr>
                <w:rFonts w:ascii="仿宋" w:hAnsi="仿宋" w:eastAsia="仿宋" w:cs="仿宋"/>
                <w:color w:val="000000"/>
                <w:sz w:val="24"/>
                <w:highlight w:val="none"/>
              </w:rPr>
            </w:pP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F1990">
            <w:pPr>
              <w:widowControl/>
              <w:jc w:val="center"/>
              <w:textAlignment w:val="center"/>
              <w:rPr>
                <w:rFonts w:ascii="仿宋" w:hAnsi="仿宋" w:eastAsia="仿宋" w:cs="仿宋"/>
                <w:color w:val="000000"/>
                <w:sz w:val="24"/>
                <w:highlight w:val="none"/>
              </w:rPr>
            </w:pPr>
            <w:r>
              <w:rPr>
                <w:rFonts w:hint="eastAsia" w:ascii="仿宋" w:hAnsi="仿宋" w:eastAsia="仿宋" w:cs="仿宋"/>
                <w:color w:val="000000"/>
                <w:kern w:val="0"/>
                <w:sz w:val="24"/>
                <w:highlight w:val="none"/>
              </w:rPr>
              <w:t>注册时间</w:t>
            </w:r>
          </w:p>
        </w:tc>
        <w:tc>
          <w:tcPr>
            <w:tcW w:w="2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4C868">
            <w:pPr>
              <w:widowControl/>
              <w:jc w:val="center"/>
              <w:textAlignment w:val="center"/>
              <w:rPr>
                <w:rFonts w:ascii="仿宋" w:hAnsi="仿宋" w:eastAsia="仿宋" w:cs="仿宋"/>
                <w:color w:val="000000"/>
                <w:sz w:val="24"/>
                <w:highlight w:val="none"/>
              </w:rPr>
            </w:pPr>
          </w:p>
        </w:tc>
      </w:tr>
      <w:tr w14:paraId="1BFD33DE">
        <w:tblPrEx>
          <w:tblCellMar>
            <w:top w:w="0" w:type="dxa"/>
            <w:left w:w="108" w:type="dxa"/>
            <w:bottom w:w="0" w:type="dxa"/>
            <w:right w:w="108" w:type="dxa"/>
          </w:tblCellMar>
        </w:tblPrEx>
        <w:trPr>
          <w:trHeight w:val="900" w:hRule="atLeast"/>
        </w:trPr>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2A928">
            <w:pPr>
              <w:widowControl/>
              <w:textAlignment w:val="center"/>
              <w:rPr>
                <w:rFonts w:ascii="仿宋" w:hAnsi="仿宋" w:eastAsia="仿宋" w:cs="仿宋"/>
                <w:color w:val="000000"/>
                <w:sz w:val="24"/>
                <w:highlight w:val="none"/>
              </w:rPr>
            </w:pPr>
            <w:r>
              <w:rPr>
                <w:rFonts w:hint="eastAsia" w:ascii="仿宋" w:hAnsi="仿宋" w:eastAsia="仿宋" w:cs="仿宋"/>
                <w:color w:val="000000"/>
                <w:kern w:val="0"/>
                <w:sz w:val="24"/>
                <w:highlight w:val="none"/>
              </w:rPr>
              <w:t>联系人</w:t>
            </w:r>
          </w:p>
        </w:tc>
        <w:tc>
          <w:tcPr>
            <w:tcW w:w="3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4F790">
            <w:pPr>
              <w:widowControl/>
              <w:jc w:val="center"/>
              <w:textAlignment w:val="center"/>
              <w:rPr>
                <w:rFonts w:ascii="仿宋" w:hAnsi="仿宋" w:eastAsia="仿宋" w:cs="仿宋"/>
                <w:color w:val="000000"/>
                <w:sz w:val="24"/>
                <w:highlight w:val="none"/>
              </w:rPr>
            </w:pP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75D23">
            <w:pPr>
              <w:widowControl/>
              <w:jc w:val="center"/>
              <w:textAlignment w:val="center"/>
              <w:rPr>
                <w:rFonts w:ascii="仿宋" w:hAnsi="仿宋" w:eastAsia="仿宋" w:cs="仿宋"/>
                <w:color w:val="000000"/>
                <w:sz w:val="24"/>
                <w:highlight w:val="none"/>
              </w:rPr>
            </w:pPr>
            <w:r>
              <w:rPr>
                <w:rFonts w:hint="eastAsia" w:ascii="仿宋" w:hAnsi="仿宋" w:eastAsia="仿宋" w:cs="仿宋"/>
                <w:color w:val="000000"/>
                <w:kern w:val="0"/>
                <w:sz w:val="24"/>
                <w:highlight w:val="none"/>
              </w:rPr>
              <w:t>联系电话</w:t>
            </w:r>
          </w:p>
        </w:tc>
        <w:tc>
          <w:tcPr>
            <w:tcW w:w="2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0ECB3">
            <w:pPr>
              <w:widowControl/>
              <w:jc w:val="center"/>
              <w:textAlignment w:val="center"/>
              <w:rPr>
                <w:rFonts w:ascii="仿宋" w:hAnsi="仿宋" w:eastAsia="仿宋" w:cs="仿宋"/>
                <w:color w:val="000000"/>
                <w:sz w:val="24"/>
                <w:highlight w:val="none"/>
              </w:rPr>
            </w:pPr>
          </w:p>
        </w:tc>
      </w:tr>
      <w:tr w14:paraId="15FDDA16">
        <w:tblPrEx>
          <w:tblCellMar>
            <w:top w:w="0" w:type="dxa"/>
            <w:left w:w="108" w:type="dxa"/>
            <w:bottom w:w="0" w:type="dxa"/>
            <w:right w:w="108" w:type="dxa"/>
          </w:tblCellMar>
        </w:tblPrEx>
        <w:trPr>
          <w:trHeight w:val="710" w:hRule="atLeast"/>
        </w:trPr>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024B6">
            <w:pPr>
              <w:widowControl/>
              <w:textAlignment w:val="center"/>
              <w:rPr>
                <w:rFonts w:ascii="仿宋" w:hAnsi="仿宋" w:eastAsia="仿宋" w:cs="仿宋"/>
                <w:color w:val="000000"/>
                <w:sz w:val="24"/>
                <w:highlight w:val="none"/>
              </w:rPr>
            </w:pPr>
            <w:r>
              <w:rPr>
                <w:rFonts w:hint="eastAsia" w:ascii="仿宋" w:hAnsi="仿宋" w:eastAsia="仿宋" w:cs="仿宋"/>
                <w:color w:val="000000"/>
                <w:kern w:val="0"/>
                <w:sz w:val="24"/>
                <w:highlight w:val="none"/>
              </w:rPr>
              <w:t>主营业务</w:t>
            </w:r>
          </w:p>
        </w:tc>
        <w:tc>
          <w:tcPr>
            <w:tcW w:w="8055" w:type="dxa"/>
            <w:gridSpan w:val="3"/>
            <w:tcBorders>
              <w:top w:val="single" w:color="000000" w:sz="4" w:space="0"/>
              <w:left w:val="single" w:color="000000" w:sz="4" w:space="0"/>
              <w:bottom w:val="nil"/>
              <w:right w:val="single" w:color="000000" w:sz="4" w:space="0"/>
            </w:tcBorders>
            <w:shd w:val="clear" w:color="auto" w:fill="auto"/>
            <w:vAlign w:val="center"/>
          </w:tcPr>
          <w:p w14:paraId="6E90707B">
            <w:pPr>
              <w:widowControl/>
              <w:jc w:val="left"/>
              <w:textAlignment w:val="center"/>
              <w:rPr>
                <w:rFonts w:ascii="仿宋" w:hAnsi="仿宋" w:eastAsia="仿宋" w:cs="仿宋"/>
                <w:color w:val="000000"/>
                <w:sz w:val="24"/>
                <w:highlight w:val="none"/>
              </w:rPr>
            </w:pPr>
          </w:p>
        </w:tc>
      </w:tr>
      <w:tr w14:paraId="6D9ABB46">
        <w:tblPrEx>
          <w:tblCellMar>
            <w:top w:w="0" w:type="dxa"/>
            <w:left w:w="108" w:type="dxa"/>
            <w:bottom w:w="0" w:type="dxa"/>
            <w:right w:w="108" w:type="dxa"/>
          </w:tblCellMar>
        </w:tblPrEx>
        <w:trPr>
          <w:trHeight w:val="660" w:hRule="atLeast"/>
        </w:trPr>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D2E31">
            <w:pPr>
              <w:widowControl/>
              <w:textAlignment w:val="center"/>
              <w:rPr>
                <w:rFonts w:ascii="仿宋" w:hAnsi="仿宋" w:eastAsia="仿宋" w:cs="仿宋"/>
                <w:color w:val="000000"/>
                <w:sz w:val="24"/>
                <w:highlight w:val="none"/>
              </w:rPr>
            </w:pPr>
            <w:r>
              <w:rPr>
                <w:rFonts w:hint="eastAsia" w:ascii="仿宋" w:hAnsi="仿宋" w:eastAsia="仿宋" w:cs="仿宋"/>
                <w:color w:val="000000"/>
                <w:kern w:val="0"/>
                <w:sz w:val="24"/>
                <w:highlight w:val="none"/>
              </w:rPr>
              <w:t>收入（万元）</w:t>
            </w:r>
          </w:p>
        </w:tc>
        <w:tc>
          <w:tcPr>
            <w:tcW w:w="80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70D1B32">
            <w:pPr>
              <w:widowControl/>
              <w:jc w:val="center"/>
              <w:textAlignment w:val="center"/>
              <w:rPr>
                <w:rFonts w:ascii="仿宋" w:hAnsi="仿宋" w:eastAsia="仿宋" w:cs="仿宋"/>
                <w:color w:val="000000"/>
                <w:sz w:val="24"/>
                <w:highlight w:val="none"/>
              </w:rPr>
            </w:pPr>
          </w:p>
        </w:tc>
      </w:tr>
      <w:tr w14:paraId="5DD8D35D">
        <w:tblPrEx>
          <w:tblCellMar>
            <w:top w:w="0" w:type="dxa"/>
            <w:left w:w="108" w:type="dxa"/>
            <w:bottom w:w="0" w:type="dxa"/>
            <w:right w:w="108" w:type="dxa"/>
          </w:tblCellMar>
        </w:tblPrEx>
        <w:trPr>
          <w:trHeight w:val="1011" w:hRule="atLeast"/>
        </w:trPr>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3972E">
            <w:pPr>
              <w:widowControl/>
              <w:textAlignment w:val="center"/>
              <w:rPr>
                <w:rFonts w:ascii="仿宋" w:hAnsi="仿宋" w:eastAsia="仿宋" w:cs="仿宋"/>
                <w:color w:val="000000"/>
                <w:sz w:val="24"/>
                <w:highlight w:val="none"/>
              </w:rPr>
            </w:pPr>
            <w:r>
              <w:rPr>
                <w:rFonts w:hint="eastAsia" w:ascii="仿宋" w:hAnsi="仿宋" w:eastAsia="仿宋" w:cs="仿宋"/>
                <w:color w:val="000000"/>
                <w:kern w:val="0"/>
                <w:sz w:val="24"/>
                <w:highlight w:val="none"/>
              </w:rPr>
              <w:t>经营范围</w:t>
            </w:r>
          </w:p>
        </w:tc>
        <w:tc>
          <w:tcPr>
            <w:tcW w:w="8055" w:type="dxa"/>
            <w:gridSpan w:val="3"/>
            <w:tcBorders>
              <w:top w:val="single" w:color="000000" w:sz="4" w:space="0"/>
              <w:left w:val="single" w:color="000000" w:sz="4" w:space="0"/>
              <w:bottom w:val="nil"/>
              <w:right w:val="single" w:color="000000" w:sz="4" w:space="0"/>
            </w:tcBorders>
            <w:shd w:val="clear" w:color="auto" w:fill="auto"/>
            <w:vAlign w:val="center"/>
          </w:tcPr>
          <w:p w14:paraId="63876593">
            <w:pPr>
              <w:widowControl/>
              <w:jc w:val="left"/>
              <w:textAlignment w:val="center"/>
              <w:rPr>
                <w:rFonts w:ascii="仿宋" w:hAnsi="仿宋" w:eastAsia="仿宋" w:cs="仿宋"/>
                <w:color w:val="000000"/>
                <w:sz w:val="20"/>
                <w:szCs w:val="20"/>
                <w:highlight w:val="none"/>
              </w:rPr>
            </w:pPr>
          </w:p>
        </w:tc>
      </w:tr>
      <w:tr w14:paraId="5B9D5156">
        <w:tblPrEx>
          <w:tblCellMar>
            <w:top w:w="0" w:type="dxa"/>
            <w:left w:w="108" w:type="dxa"/>
            <w:bottom w:w="0" w:type="dxa"/>
            <w:right w:w="108" w:type="dxa"/>
          </w:tblCellMar>
        </w:tblPrEx>
        <w:trPr>
          <w:trHeight w:val="875" w:hRule="atLeast"/>
        </w:trPr>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28F45">
            <w:pPr>
              <w:widowControl/>
              <w:jc w:val="center"/>
              <w:textAlignment w:val="center"/>
              <w:rPr>
                <w:rFonts w:ascii="仿宋" w:hAnsi="仿宋" w:eastAsia="仿宋" w:cs="仿宋"/>
                <w:color w:val="000000"/>
                <w:sz w:val="24"/>
                <w:highlight w:val="none"/>
              </w:rPr>
            </w:pPr>
            <w:r>
              <w:rPr>
                <w:rFonts w:hint="eastAsia" w:ascii="仿宋" w:hAnsi="仿宋" w:eastAsia="仿宋" w:cs="仿宋"/>
                <w:color w:val="000000"/>
                <w:kern w:val="0"/>
                <w:sz w:val="24"/>
                <w:highlight w:val="none"/>
              </w:rPr>
              <w:t>主要业绩</w:t>
            </w:r>
          </w:p>
        </w:tc>
        <w:tc>
          <w:tcPr>
            <w:tcW w:w="80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365305F">
            <w:pPr>
              <w:widowControl/>
              <w:jc w:val="left"/>
              <w:textAlignment w:val="center"/>
              <w:rPr>
                <w:rFonts w:ascii="仿宋" w:hAnsi="仿宋" w:eastAsia="仿宋" w:cs="仿宋"/>
                <w:color w:val="000000"/>
                <w:sz w:val="24"/>
                <w:highlight w:val="none"/>
              </w:rPr>
            </w:pPr>
          </w:p>
        </w:tc>
      </w:tr>
      <w:tr w14:paraId="549465B8">
        <w:tblPrEx>
          <w:tblCellMar>
            <w:top w:w="0" w:type="dxa"/>
            <w:left w:w="108" w:type="dxa"/>
            <w:bottom w:w="0" w:type="dxa"/>
            <w:right w:w="108" w:type="dxa"/>
          </w:tblCellMar>
        </w:tblPrEx>
        <w:trPr>
          <w:trHeight w:val="860" w:hRule="atLeast"/>
        </w:trPr>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7AB5B">
            <w:pPr>
              <w:widowControl/>
              <w:jc w:val="center"/>
              <w:textAlignment w:val="center"/>
              <w:rPr>
                <w:rFonts w:ascii="仿宋" w:hAnsi="仿宋" w:eastAsia="仿宋" w:cs="仿宋"/>
                <w:color w:val="000000"/>
                <w:sz w:val="24"/>
                <w:highlight w:val="none"/>
              </w:rPr>
            </w:pPr>
            <w:r>
              <w:rPr>
                <w:rFonts w:hint="eastAsia" w:ascii="仿宋" w:hAnsi="仿宋" w:eastAsia="仿宋" w:cs="仿宋"/>
                <w:color w:val="000000"/>
                <w:kern w:val="0"/>
                <w:sz w:val="24"/>
                <w:highlight w:val="none"/>
              </w:rPr>
              <w:t>公司性质</w:t>
            </w:r>
          </w:p>
        </w:tc>
        <w:tc>
          <w:tcPr>
            <w:tcW w:w="80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5DB993D">
            <w:pPr>
              <w:widowControl/>
              <w:textAlignment w:val="center"/>
              <w:rPr>
                <w:rFonts w:ascii="仿宋" w:hAnsi="仿宋" w:eastAsia="仿宋" w:cs="仿宋"/>
                <w:color w:val="000000"/>
                <w:sz w:val="24"/>
                <w:highlight w:val="none"/>
              </w:rPr>
            </w:pPr>
          </w:p>
        </w:tc>
      </w:tr>
      <w:tr w14:paraId="079BC8AA">
        <w:tblPrEx>
          <w:tblCellMar>
            <w:top w:w="0" w:type="dxa"/>
            <w:left w:w="108" w:type="dxa"/>
            <w:bottom w:w="0" w:type="dxa"/>
            <w:right w:w="108" w:type="dxa"/>
          </w:tblCellMar>
        </w:tblPrEx>
        <w:trPr>
          <w:trHeight w:val="825" w:hRule="atLeast"/>
        </w:trPr>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1957C">
            <w:pPr>
              <w:widowControl/>
              <w:jc w:val="center"/>
              <w:textAlignment w:val="center"/>
              <w:rPr>
                <w:rFonts w:ascii="仿宋" w:hAnsi="仿宋" w:eastAsia="仿宋" w:cs="仿宋"/>
                <w:color w:val="000000"/>
                <w:sz w:val="24"/>
                <w:highlight w:val="none"/>
              </w:rPr>
            </w:pPr>
            <w:r>
              <w:rPr>
                <w:rFonts w:hint="eastAsia" w:ascii="仿宋" w:hAnsi="仿宋" w:eastAsia="仿宋" w:cs="仿宋"/>
                <w:color w:val="000000"/>
                <w:kern w:val="0"/>
                <w:sz w:val="24"/>
                <w:highlight w:val="none"/>
              </w:rPr>
              <w:t>经营方式</w:t>
            </w:r>
          </w:p>
        </w:tc>
        <w:tc>
          <w:tcPr>
            <w:tcW w:w="80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4F1C4C1">
            <w:pPr>
              <w:widowControl/>
              <w:textAlignment w:val="center"/>
              <w:rPr>
                <w:rFonts w:ascii="仿宋" w:hAnsi="仿宋" w:eastAsia="仿宋" w:cs="仿宋"/>
                <w:color w:val="000000"/>
                <w:sz w:val="24"/>
                <w:highlight w:val="none"/>
              </w:rPr>
            </w:pPr>
          </w:p>
        </w:tc>
      </w:tr>
      <w:tr w14:paraId="2F913816">
        <w:tblPrEx>
          <w:tblCellMar>
            <w:top w:w="0" w:type="dxa"/>
            <w:left w:w="108" w:type="dxa"/>
            <w:bottom w:w="0" w:type="dxa"/>
            <w:right w:w="108" w:type="dxa"/>
          </w:tblCellMar>
        </w:tblPrEx>
        <w:trPr>
          <w:trHeight w:val="1235" w:hRule="atLeast"/>
        </w:trPr>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BAF8C">
            <w:pPr>
              <w:widowControl/>
              <w:jc w:val="center"/>
              <w:textAlignment w:val="center"/>
              <w:rPr>
                <w:rFonts w:ascii="仿宋" w:hAnsi="仿宋" w:eastAsia="仿宋" w:cs="仿宋"/>
                <w:color w:val="000000"/>
                <w:sz w:val="24"/>
                <w:highlight w:val="none"/>
              </w:rPr>
            </w:pPr>
            <w:r>
              <w:rPr>
                <w:rFonts w:hint="eastAsia" w:ascii="仿宋" w:hAnsi="仿宋" w:eastAsia="仿宋" w:cs="仿宋"/>
                <w:color w:val="000000"/>
                <w:kern w:val="0"/>
                <w:sz w:val="24"/>
                <w:highlight w:val="none"/>
              </w:rPr>
              <w:t>资质</w:t>
            </w:r>
          </w:p>
        </w:tc>
        <w:tc>
          <w:tcPr>
            <w:tcW w:w="80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AFBA970">
            <w:pPr>
              <w:widowControl/>
              <w:textAlignment w:val="center"/>
              <w:rPr>
                <w:rFonts w:ascii="仿宋" w:hAnsi="仿宋" w:eastAsia="仿宋" w:cs="仿宋"/>
                <w:color w:val="000000"/>
                <w:sz w:val="24"/>
                <w:highlight w:val="none"/>
              </w:rPr>
            </w:pPr>
          </w:p>
        </w:tc>
      </w:tr>
    </w:tbl>
    <w:p w14:paraId="0F2D1F8D">
      <w:pPr>
        <w:ind w:left="0" w:leftChars="0" w:firstLine="0" w:firstLineChars="0"/>
        <w:rPr>
          <w:rFonts w:hint="eastAsia" w:ascii="仿宋" w:hAnsi="仿宋" w:eastAsia="仿宋" w:cs="仿宋"/>
          <w:sz w:val="28"/>
          <w:szCs w:val="28"/>
          <w:highlight w:val="none"/>
          <w:lang w:val="en-US" w:eastAsia="zh-CN"/>
        </w:rPr>
      </w:pPr>
    </w:p>
    <w:p w14:paraId="1086B89C">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
          <w:bCs/>
          <w:color w:val="auto"/>
          <w:sz w:val="28"/>
          <w:szCs w:val="28"/>
          <w:highlight w:val="none"/>
          <w:lang w:val="en-US" w:eastAsia="zh-CN"/>
        </w:rPr>
      </w:pPr>
    </w:p>
    <w:p w14:paraId="6859887B">
      <w:pPr>
        <w:spacing w:before="101" w:line="226" w:lineRule="auto"/>
        <w:ind w:left="4041" w:firstLine="970" w:firstLineChars="300"/>
        <w:outlineLvl w:val="1"/>
        <w:rPr>
          <w:rFonts w:ascii="黑体" w:hAnsi="黑体" w:eastAsia="黑体" w:cs="黑体"/>
          <w:b/>
          <w:bCs/>
          <w:spacing w:val="6"/>
          <w:sz w:val="31"/>
          <w:szCs w:val="31"/>
          <w:highlight w:val="none"/>
        </w:rPr>
      </w:pPr>
      <w:bookmarkStart w:id="88" w:name="_Toc2153"/>
    </w:p>
    <w:p w14:paraId="12B032A7">
      <w:pPr>
        <w:spacing w:before="101" w:line="226" w:lineRule="auto"/>
        <w:ind w:left="4041" w:firstLine="970" w:firstLineChars="300"/>
        <w:outlineLvl w:val="1"/>
        <w:rPr>
          <w:rFonts w:ascii="黑体" w:hAnsi="黑体" w:eastAsia="黑体" w:cs="黑体"/>
          <w:b/>
          <w:bCs/>
          <w:spacing w:val="6"/>
          <w:sz w:val="31"/>
          <w:szCs w:val="31"/>
          <w:highlight w:val="none"/>
        </w:rPr>
      </w:pPr>
    </w:p>
    <w:p w14:paraId="2399379A">
      <w:pPr>
        <w:spacing w:before="101" w:line="226" w:lineRule="auto"/>
        <w:ind w:left="4041" w:firstLine="6787" w:firstLineChars="2100"/>
        <w:outlineLvl w:val="1"/>
        <w:rPr>
          <w:rFonts w:ascii="黑体" w:hAnsi="黑体" w:eastAsia="黑体" w:cs="黑体"/>
          <w:b/>
          <w:bCs/>
          <w:spacing w:val="6"/>
          <w:sz w:val="31"/>
          <w:szCs w:val="31"/>
          <w:highlight w:val="none"/>
        </w:rPr>
      </w:pPr>
    </w:p>
    <w:p w14:paraId="2BD31BE1">
      <w:pPr>
        <w:spacing w:before="101" w:line="226" w:lineRule="auto"/>
        <w:ind w:left="4041" w:firstLine="6787" w:firstLineChars="2100"/>
        <w:outlineLvl w:val="1"/>
        <w:rPr>
          <w:rFonts w:ascii="黑体" w:hAnsi="黑体" w:eastAsia="黑体" w:cs="黑体"/>
          <w:b/>
          <w:bCs/>
          <w:spacing w:val="6"/>
          <w:sz w:val="31"/>
          <w:szCs w:val="31"/>
          <w:highlight w:val="none"/>
        </w:rPr>
      </w:pPr>
    </w:p>
    <w:p w14:paraId="14F991E2">
      <w:pPr>
        <w:spacing w:before="101" w:line="226" w:lineRule="auto"/>
        <w:ind w:left="4041" w:firstLine="6787" w:firstLineChars="2100"/>
        <w:outlineLvl w:val="1"/>
        <w:rPr>
          <w:rFonts w:ascii="黑体" w:hAnsi="黑体" w:eastAsia="黑体" w:cs="黑体"/>
          <w:b/>
          <w:bCs/>
          <w:spacing w:val="6"/>
          <w:sz w:val="31"/>
          <w:szCs w:val="31"/>
          <w:highlight w:val="none"/>
        </w:rPr>
      </w:pPr>
    </w:p>
    <w:bookmarkEnd w:id="88"/>
    <w:p w14:paraId="445D4E02">
      <w:pPr>
        <w:spacing w:before="101" w:line="228" w:lineRule="auto"/>
        <w:ind w:firstLine="5139" w:firstLineChars="1600"/>
        <w:rPr>
          <w:rFonts w:ascii="黑体" w:hAnsi="黑体" w:eastAsia="黑体" w:cs="黑体"/>
          <w:sz w:val="31"/>
          <w:szCs w:val="31"/>
          <w:highlight w:val="none"/>
        </w:rPr>
      </w:pPr>
      <w:r>
        <w:rPr>
          <w:rFonts w:hint="eastAsia" w:ascii="黑体" w:hAnsi="黑体" w:eastAsia="黑体" w:cs="黑体"/>
          <w:b/>
          <w:bCs/>
          <w:spacing w:val="5"/>
          <w:sz w:val="31"/>
          <w:szCs w:val="31"/>
          <w:highlight w:val="none"/>
          <w:lang w:val="en-US" w:eastAsia="zh-CN"/>
        </w:rPr>
        <w:t>11.</w:t>
      </w:r>
      <w:r>
        <w:rPr>
          <w:rFonts w:ascii="黑体" w:hAnsi="黑体" w:eastAsia="黑体" w:cs="黑体"/>
          <w:b/>
          <w:bCs/>
          <w:spacing w:val="5"/>
          <w:sz w:val="31"/>
          <w:szCs w:val="31"/>
          <w:highlight w:val="none"/>
        </w:rPr>
        <w:t>投标业绩情况表</w:t>
      </w:r>
    </w:p>
    <w:p w14:paraId="603EC0B0">
      <w:pPr>
        <w:spacing w:before="25" w:line="221" w:lineRule="auto"/>
        <w:ind w:left="4628"/>
        <w:rPr>
          <w:rFonts w:ascii="黑体" w:hAnsi="黑体" w:eastAsia="黑体" w:cs="黑体"/>
          <w:sz w:val="28"/>
          <w:szCs w:val="28"/>
          <w:highlight w:val="none"/>
        </w:rPr>
      </w:pPr>
      <w:r>
        <w:rPr>
          <w:rFonts w:hint="eastAsia" w:ascii="黑体" w:hAnsi="黑体" w:eastAsia="黑体" w:cs="黑体"/>
          <w:spacing w:val="-11"/>
          <w:sz w:val="28"/>
          <w:szCs w:val="28"/>
          <w:highlight w:val="none"/>
          <w:lang w:eastAsia="zh-CN"/>
        </w:rPr>
        <w:t>（</w:t>
      </w:r>
      <w:r>
        <w:rPr>
          <w:rFonts w:hint="eastAsia" w:ascii="黑体" w:hAnsi="黑体" w:eastAsia="黑体" w:cs="黑体"/>
          <w:spacing w:val="-11"/>
          <w:sz w:val="28"/>
          <w:szCs w:val="28"/>
          <w:highlight w:val="none"/>
          <w:lang w:val="en-US" w:eastAsia="zh-CN"/>
        </w:rPr>
        <w:t>1</w:t>
      </w:r>
      <w:r>
        <w:rPr>
          <w:rFonts w:hint="eastAsia" w:ascii="黑体" w:hAnsi="黑体" w:eastAsia="黑体" w:cs="黑体"/>
          <w:spacing w:val="-11"/>
          <w:sz w:val="28"/>
          <w:szCs w:val="28"/>
          <w:highlight w:val="none"/>
          <w:lang w:eastAsia="zh-CN"/>
        </w:rPr>
        <w:t>）</w:t>
      </w:r>
      <w:r>
        <w:rPr>
          <w:rFonts w:ascii="黑体" w:hAnsi="黑体" w:eastAsia="黑体" w:cs="黑体"/>
          <w:spacing w:val="-11"/>
          <w:sz w:val="28"/>
          <w:szCs w:val="28"/>
          <w:highlight w:val="none"/>
        </w:rPr>
        <w:t>同类项目业绩汇总表</w:t>
      </w:r>
    </w:p>
    <w:p w14:paraId="726421D5">
      <w:pPr>
        <w:spacing w:line="171" w:lineRule="exact"/>
        <w:rPr>
          <w:highlight w:val="none"/>
        </w:rPr>
      </w:pPr>
    </w:p>
    <w:tbl>
      <w:tblPr>
        <w:tblStyle w:val="23"/>
        <w:tblpPr w:leftFromText="180" w:rightFromText="180" w:vertAnchor="text" w:horzAnchor="page" w:tblpX="1580" w:tblpY="373"/>
        <w:tblOverlap w:val="never"/>
        <w:tblW w:w="935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8"/>
        <w:gridCol w:w="861"/>
        <w:gridCol w:w="863"/>
        <w:gridCol w:w="861"/>
        <w:gridCol w:w="864"/>
        <w:gridCol w:w="861"/>
        <w:gridCol w:w="878"/>
        <w:gridCol w:w="1135"/>
        <w:gridCol w:w="988"/>
        <w:gridCol w:w="1175"/>
      </w:tblGrid>
      <w:tr w14:paraId="13F659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4" w:hRule="atLeast"/>
        </w:trPr>
        <w:tc>
          <w:tcPr>
            <w:tcW w:w="868" w:type="dxa"/>
            <w:vAlign w:val="top"/>
          </w:tcPr>
          <w:p w14:paraId="6C8C79E7">
            <w:pPr>
              <w:spacing w:line="371" w:lineRule="auto"/>
              <w:rPr>
                <w:rFonts w:ascii="Arial"/>
                <w:sz w:val="21"/>
                <w:highlight w:val="none"/>
              </w:rPr>
            </w:pPr>
          </w:p>
          <w:p w14:paraId="21510511">
            <w:pPr>
              <w:pStyle w:val="24"/>
              <w:spacing w:before="68" w:line="223" w:lineRule="auto"/>
              <w:ind w:left="227"/>
              <w:rPr>
                <w:highlight w:val="none"/>
              </w:rPr>
            </w:pPr>
            <w:r>
              <w:rPr>
                <w:spacing w:val="-2"/>
                <w:highlight w:val="none"/>
              </w:rPr>
              <w:t>序号</w:t>
            </w:r>
          </w:p>
        </w:tc>
        <w:tc>
          <w:tcPr>
            <w:tcW w:w="861" w:type="dxa"/>
            <w:vAlign w:val="top"/>
          </w:tcPr>
          <w:p w14:paraId="2DA2F39F">
            <w:pPr>
              <w:pStyle w:val="24"/>
              <w:spacing w:before="34" w:line="223" w:lineRule="auto"/>
              <w:ind w:left="122"/>
              <w:rPr>
                <w:highlight w:val="none"/>
              </w:rPr>
            </w:pPr>
            <w:r>
              <w:rPr>
                <w:spacing w:val="-2"/>
                <w:highlight w:val="none"/>
              </w:rPr>
              <w:t>设备名</w:t>
            </w:r>
          </w:p>
          <w:p w14:paraId="397C5108">
            <w:pPr>
              <w:pStyle w:val="24"/>
              <w:spacing w:before="155" w:line="223" w:lineRule="auto"/>
              <w:ind w:left="171"/>
              <w:rPr>
                <w:highlight w:val="none"/>
              </w:rPr>
            </w:pPr>
            <w:r>
              <w:rPr>
                <w:spacing w:val="-2"/>
                <w:highlight w:val="none"/>
              </w:rPr>
              <w:t>称/规</w:t>
            </w:r>
          </w:p>
          <w:p w14:paraId="32D24CDC">
            <w:pPr>
              <w:pStyle w:val="24"/>
              <w:spacing w:before="154" w:line="221" w:lineRule="auto"/>
              <w:ind w:left="119"/>
              <w:rPr>
                <w:highlight w:val="none"/>
              </w:rPr>
            </w:pPr>
            <w:r>
              <w:rPr>
                <w:spacing w:val="-2"/>
                <w:highlight w:val="none"/>
              </w:rPr>
              <w:t>格型号</w:t>
            </w:r>
          </w:p>
        </w:tc>
        <w:tc>
          <w:tcPr>
            <w:tcW w:w="863" w:type="dxa"/>
            <w:vAlign w:val="top"/>
          </w:tcPr>
          <w:p w14:paraId="1DB9209F">
            <w:pPr>
              <w:pStyle w:val="24"/>
              <w:spacing w:before="238" w:line="361" w:lineRule="auto"/>
              <w:ind w:left="226" w:right="112" w:hanging="105"/>
              <w:rPr>
                <w:highlight w:val="none"/>
              </w:rPr>
            </w:pPr>
            <w:r>
              <w:rPr>
                <w:spacing w:val="-3"/>
                <w:highlight w:val="none"/>
              </w:rPr>
              <w:t>数量及</w:t>
            </w:r>
            <w:r>
              <w:rPr>
                <w:spacing w:val="1"/>
                <w:highlight w:val="none"/>
              </w:rPr>
              <w:t xml:space="preserve"> </w:t>
            </w:r>
            <w:r>
              <w:rPr>
                <w:spacing w:val="-2"/>
                <w:highlight w:val="none"/>
              </w:rPr>
              <w:t>单位</w:t>
            </w:r>
          </w:p>
        </w:tc>
        <w:tc>
          <w:tcPr>
            <w:tcW w:w="861" w:type="dxa"/>
            <w:vAlign w:val="top"/>
          </w:tcPr>
          <w:p w14:paraId="60F74D67">
            <w:pPr>
              <w:pStyle w:val="24"/>
              <w:spacing w:before="238" w:line="222" w:lineRule="auto"/>
              <w:ind w:left="234"/>
              <w:rPr>
                <w:highlight w:val="none"/>
              </w:rPr>
            </w:pPr>
            <w:r>
              <w:rPr>
                <w:spacing w:val="-4"/>
                <w:highlight w:val="none"/>
              </w:rPr>
              <w:t>买方</w:t>
            </w:r>
          </w:p>
          <w:p w14:paraId="18FC1584">
            <w:pPr>
              <w:pStyle w:val="24"/>
              <w:spacing w:before="156" w:line="223" w:lineRule="auto"/>
              <w:ind w:left="228"/>
              <w:rPr>
                <w:highlight w:val="none"/>
              </w:rPr>
            </w:pPr>
            <w:r>
              <w:rPr>
                <w:spacing w:val="-3"/>
                <w:highlight w:val="none"/>
              </w:rPr>
              <w:t>名称</w:t>
            </w:r>
          </w:p>
        </w:tc>
        <w:tc>
          <w:tcPr>
            <w:tcW w:w="864" w:type="dxa"/>
            <w:vAlign w:val="top"/>
          </w:tcPr>
          <w:p w14:paraId="01854895">
            <w:pPr>
              <w:pStyle w:val="24"/>
              <w:spacing w:before="238" w:line="222" w:lineRule="auto"/>
              <w:ind w:left="230"/>
              <w:rPr>
                <w:highlight w:val="none"/>
              </w:rPr>
            </w:pPr>
            <w:r>
              <w:rPr>
                <w:spacing w:val="-3"/>
                <w:highlight w:val="none"/>
              </w:rPr>
              <w:t>项目</w:t>
            </w:r>
          </w:p>
          <w:p w14:paraId="3851A9D3">
            <w:pPr>
              <w:pStyle w:val="24"/>
              <w:spacing w:before="156" w:line="223" w:lineRule="auto"/>
              <w:ind w:left="229"/>
              <w:rPr>
                <w:highlight w:val="none"/>
              </w:rPr>
            </w:pPr>
            <w:r>
              <w:rPr>
                <w:spacing w:val="-3"/>
                <w:highlight w:val="none"/>
              </w:rPr>
              <w:t>名称</w:t>
            </w:r>
          </w:p>
        </w:tc>
        <w:tc>
          <w:tcPr>
            <w:tcW w:w="861" w:type="dxa"/>
            <w:vAlign w:val="top"/>
          </w:tcPr>
          <w:p w14:paraId="62A7F077">
            <w:pPr>
              <w:pStyle w:val="24"/>
              <w:spacing w:before="238" w:line="223" w:lineRule="auto"/>
              <w:ind w:left="228"/>
              <w:rPr>
                <w:highlight w:val="none"/>
              </w:rPr>
            </w:pPr>
            <w:r>
              <w:rPr>
                <w:spacing w:val="-2"/>
                <w:highlight w:val="none"/>
              </w:rPr>
              <w:t>合同</w:t>
            </w:r>
          </w:p>
          <w:p w14:paraId="608BC0AA">
            <w:pPr>
              <w:pStyle w:val="24"/>
              <w:spacing w:before="153" w:line="220" w:lineRule="auto"/>
              <w:ind w:left="228"/>
              <w:rPr>
                <w:highlight w:val="none"/>
              </w:rPr>
            </w:pPr>
            <w:r>
              <w:rPr>
                <w:spacing w:val="-2"/>
                <w:highlight w:val="none"/>
              </w:rPr>
              <w:t>价格</w:t>
            </w:r>
          </w:p>
        </w:tc>
        <w:tc>
          <w:tcPr>
            <w:tcW w:w="878" w:type="dxa"/>
            <w:vAlign w:val="top"/>
          </w:tcPr>
          <w:p w14:paraId="6C5A207C">
            <w:pPr>
              <w:pStyle w:val="24"/>
              <w:spacing w:before="238" w:line="223" w:lineRule="auto"/>
              <w:ind w:left="130"/>
              <w:rPr>
                <w:highlight w:val="none"/>
              </w:rPr>
            </w:pPr>
            <w:r>
              <w:rPr>
                <w:spacing w:val="-2"/>
                <w:highlight w:val="none"/>
              </w:rPr>
              <w:t>合同签</w:t>
            </w:r>
          </w:p>
          <w:p w14:paraId="0E28305D">
            <w:pPr>
              <w:pStyle w:val="24"/>
              <w:spacing w:before="154" w:line="223" w:lineRule="auto"/>
              <w:ind w:left="131"/>
              <w:rPr>
                <w:highlight w:val="none"/>
              </w:rPr>
            </w:pPr>
            <w:r>
              <w:rPr>
                <w:spacing w:val="-2"/>
                <w:highlight w:val="none"/>
              </w:rPr>
              <w:t>订时间</w:t>
            </w:r>
          </w:p>
        </w:tc>
        <w:tc>
          <w:tcPr>
            <w:tcW w:w="1135" w:type="dxa"/>
            <w:vAlign w:val="top"/>
          </w:tcPr>
          <w:p w14:paraId="54D14EBC">
            <w:pPr>
              <w:spacing w:line="371" w:lineRule="auto"/>
              <w:rPr>
                <w:rFonts w:ascii="Arial"/>
                <w:sz w:val="21"/>
                <w:highlight w:val="none"/>
              </w:rPr>
            </w:pPr>
          </w:p>
          <w:p w14:paraId="46C8A8D7">
            <w:pPr>
              <w:pStyle w:val="24"/>
              <w:spacing w:before="68" w:line="221" w:lineRule="auto"/>
              <w:ind w:left="259"/>
              <w:rPr>
                <w:highlight w:val="none"/>
              </w:rPr>
            </w:pPr>
            <w:r>
              <w:rPr>
                <w:spacing w:val="-2"/>
                <w:highlight w:val="none"/>
              </w:rPr>
              <w:t>供货期</w:t>
            </w:r>
          </w:p>
        </w:tc>
        <w:tc>
          <w:tcPr>
            <w:tcW w:w="988" w:type="dxa"/>
            <w:vAlign w:val="top"/>
          </w:tcPr>
          <w:p w14:paraId="6C52E4D6">
            <w:pPr>
              <w:pStyle w:val="24"/>
              <w:spacing w:before="238" w:line="223" w:lineRule="auto"/>
              <w:ind w:left="291"/>
              <w:rPr>
                <w:highlight w:val="none"/>
              </w:rPr>
            </w:pPr>
            <w:r>
              <w:rPr>
                <w:spacing w:val="-2"/>
                <w:highlight w:val="none"/>
              </w:rPr>
              <w:t>合同</w:t>
            </w:r>
          </w:p>
          <w:p w14:paraId="1D9D0306">
            <w:pPr>
              <w:pStyle w:val="24"/>
              <w:spacing w:before="154" w:line="221" w:lineRule="auto"/>
              <w:ind w:left="290"/>
              <w:rPr>
                <w:highlight w:val="none"/>
              </w:rPr>
            </w:pPr>
            <w:r>
              <w:rPr>
                <w:spacing w:val="-2"/>
                <w:highlight w:val="none"/>
              </w:rPr>
              <w:t>状态</w:t>
            </w:r>
          </w:p>
        </w:tc>
        <w:tc>
          <w:tcPr>
            <w:tcW w:w="1175" w:type="dxa"/>
            <w:vAlign w:val="top"/>
          </w:tcPr>
          <w:p w14:paraId="062B8F9C">
            <w:pPr>
              <w:spacing w:line="371" w:lineRule="auto"/>
              <w:rPr>
                <w:rFonts w:ascii="Arial"/>
                <w:sz w:val="21"/>
                <w:highlight w:val="none"/>
              </w:rPr>
            </w:pPr>
          </w:p>
          <w:p w14:paraId="3BFA7D96">
            <w:pPr>
              <w:pStyle w:val="24"/>
              <w:spacing w:before="68" w:line="223" w:lineRule="auto"/>
              <w:ind w:left="385"/>
              <w:rPr>
                <w:highlight w:val="none"/>
              </w:rPr>
            </w:pPr>
            <w:r>
              <w:rPr>
                <w:spacing w:val="-3"/>
                <w:highlight w:val="none"/>
              </w:rPr>
              <w:t>备注</w:t>
            </w:r>
          </w:p>
        </w:tc>
      </w:tr>
      <w:tr w14:paraId="0F257A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868" w:type="dxa"/>
            <w:vAlign w:val="top"/>
          </w:tcPr>
          <w:p w14:paraId="027A25B2">
            <w:pPr>
              <w:rPr>
                <w:rFonts w:ascii="Arial"/>
                <w:sz w:val="21"/>
                <w:highlight w:val="none"/>
              </w:rPr>
            </w:pPr>
          </w:p>
        </w:tc>
        <w:tc>
          <w:tcPr>
            <w:tcW w:w="861" w:type="dxa"/>
            <w:vAlign w:val="top"/>
          </w:tcPr>
          <w:p w14:paraId="0C322165">
            <w:pPr>
              <w:rPr>
                <w:rFonts w:ascii="Arial"/>
                <w:sz w:val="21"/>
                <w:highlight w:val="none"/>
              </w:rPr>
            </w:pPr>
          </w:p>
        </w:tc>
        <w:tc>
          <w:tcPr>
            <w:tcW w:w="863" w:type="dxa"/>
            <w:vAlign w:val="top"/>
          </w:tcPr>
          <w:p w14:paraId="335AF248">
            <w:pPr>
              <w:rPr>
                <w:rFonts w:ascii="Arial"/>
                <w:sz w:val="21"/>
                <w:highlight w:val="none"/>
              </w:rPr>
            </w:pPr>
          </w:p>
        </w:tc>
        <w:tc>
          <w:tcPr>
            <w:tcW w:w="861" w:type="dxa"/>
            <w:vAlign w:val="top"/>
          </w:tcPr>
          <w:p w14:paraId="15F79AAF">
            <w:pPr>
              <w:rPr>
                <w:rFonts w:ascii="Arial"/>
                <w:sz w:val="21"/>
                <w:highlight w:val="none"/>
              </w:rPr>
            </w:pPr>
          </w:p>
        </w:tc>
        <w:tc>
          <w:tcPr>
            <w:tcW w:w="864" w:type="dxa"/>
            <w:vAlign w:val="top"/>
          </w:tcPr>
          <w:p w14:paraId="09710094">
            <w:pPr>
              <w:rPr>
                <w:rFonts w:ascii="Arial"/>
                <w:sz w:val="21"/>
                <w:highlight w:val="none"/>
              </w:rPr>
            </w:pPr>
          </w:p>
        </w:tc>
        <w:tc>
          <w:tcPr>
            <w:tcW w:w="861" w:type="dxa"/>
            <w:vAlign w:val="top"/>
          </w:tcPr>
          <w:p w14:paraId="37516972">
            <w:pPr>
              <w:rPr>
                <w:rFonts w:ascii="Arial"/>
                <w:sz w:val="21"/>
                <w:highlight w:val="none"/>
              </w:rPr>
            </w:pPr>
          </w:p>
        </w:tc>
        <w:tc>
          <w:tcPr>
            <w:tcW w:w="878" w:type="dxa"/>
            <w:vAlign w:val="top"/>
          </w:tcPr>
          <w:p w14:paraId="180FF9F9">
            <w:pPr>
              <w:rPr>
                <w:rFonts w:ascii="Arial"/>
                <w:sz w:val="21"/>
                <w:highlight w:val="none"/>
              </w:rPr>
            </w:pPr>
          </w:p>
        </w:tc>
        <w:tc>
          <w:tcPr>
            <w:tcW w:w="1135" w:type="dxa"/>
            <w:vAlign w:val="top"/>
          </w:tcPr>
          <w:p w14:paraId="39C084A3">
            <w:pPr>
              <w:rPr>
                <w:rFonts w:ascii="Arial"/>
                <w:sz w:val="21"/>
                <w:highlight w:val="none"/>
              </w:rPr>
            </w:pPr>
          </w:p>
        </w:tc>
        <w:tc>
          <w:tcPr>
            <w:tcW w:w="988" w:type="dxa"/>
            <w:vAlign w:val="top"/>
          </w:tcPr>
          <w:p w14:paraId="257A7E16">
            <w:pPr>
              <w:rPr>
                <w:rFonts w:ascii="Arial"/>
                <w:sz w:val="21"/>
                <w:highlight w:val="none"/>
              </w:rPr>
            </w:pPr>
          </w:p>
        </w:tc>
        <w:tc>
          <w:tcPr>
            <w:tcW w:w="1175" w:type="dxa"/>
            <w:vAlign w:val="top"/>
          </w:tcPr>
          <w:p w14:paraId="4F098583">
            <w:pPr>
              <w:rPr>
                <w:rFonts w:ascii="Arial"/>
                <w:sz w:val="21"/>
                <w:highlight w:val="none"/>
              </w:rPr>
            </w:pPr>
          </w:p>
        </w:tc>
      </w:tr>
      <w:tr w14:paraId="5394C2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9" w:hRule="atLeast"/>
        </w:trPr>
        <w:tc>
          <w:tcPr>
            <w:tcW w:w="868" w:type="dxa"/>
            <w:vAlign w:val="top"/>
          </w:tcPr>
          <w:p w14:paraId="51BEBD22">
            <w:pPr>
              <w:rPr>
                <w:rFonts w:ascii="Arial"/>
                <w:sz w:val="21"/>
                <w:highlight w:val="none"/>
              </w:rPr>
            </w:pPr>
          </w:p>
        </w:tc>
        <w:tc>
          <w:tcPr>
            <w:tcW w:w="861" w:type="dxa"/>
            <w:vAlign w:val="top"/>
          </w:tcPr>
          <w:p w14:paraId="34B1AD26">
            <w:pPr>
              <w:rPr>
                <w:rFonts w:ascii="Arial"/>
                <w:sz w:val="21"/>
                <w:highlight w:val="none"/>
              </w:rPr>
            </w:pPr>
          </w:p>
        </w:tc>
        <w:tc>
          <w:tcPr>
            <w:tcW w:w="863" w:type="dxa"/>
            <w:vAlign w:val="top"/>
          </w:tcPr>
          <w:p w14:paraId="47F98626">
            <w:pPr>
              <w:rPr>
                <w:rFonts w:ascii="Arial"/>
                <w:sz w:val="21"/>
                <w:highlight w:val="none"/>
              </w:rPr>
            </w:pPr>
          </w:p>
        </w:tc>
        <w:tc>
          <w:tcPr>
            <w:tcW w:w="861" w:type="dxa"/>
            <w:vAlign w:val="top"/>
          </w:tcPr>
          <w:p w14:paraId="0592349B">
            <w:pPr>
              <w:rPr>
                <w:rFonts w:ascii="Arial"/>
                <w:sz w:val="21"/>
                <w:highlight w:val="none"/>
              </w:rPr>
            </w:pPr>
          </w:p>
        </w:tc>
        <w:tc>
          <w:tcPr>
            <w:tcW w:w="864" w:type="dxa"/>
            <w:vAlign w:val="top"/>
          </w:tcPr>
          <w:p w14:paraId="2C7DADB1">
            <w:pPr>
              <w:rPr>
                <w:rFonts w:ascii="Arial"/>
                <w:sz w:val="21"/>
                <w:highlight w:val="none"/>
              </w:rPr>
            </w:pPr>
          </w:p>
        </w:tc>
        <w:tc>
          <w:tcPr>
            <w:tcW w:w="861" w:type="dxa"/>
            <w:vAlign w:val="top"/>
          </w:tcPr>
          <w:p w14:paraId="3AFDA960">
            <w:pPr>
              <w:rPr>
                <w:rFonts w:ascii="Arial"/>
                <w:sz w:val="21"/>
                <w:highlight w:val="none"/>
              </w:rPr>
            </w:pPr>
          </w:p>
        </w:tc>
        <w:tc>
          <w:tcPr>
            <w:tcW w:w="878" w:type="dxa"/>
            <w:vAlign w:val="top"/>
          </w:tcPr>
          <w:p w14:paraId="64F537BD">
            <w:pPr>
              <w:rPr>
                <w:rFonts w:ascii="Arial"/>
                <w:sz w:val="21"/>
                <w:highlight w:val="none"/>
              </w:rPr>
            </w:pPr>
          </w:p>
        </w:tc>
        <w:tc>
          <w:tcPr>
            <w:tcW w:w="1135" w:type="dxa"/>
            <w:vAlign w:val="top"/>
          </w:tcPr>
          <w:p w14:paraId="08B20CF0">
            <w:pPr>
              <w:rPr>
                <w:rFonts w:ascii="Arial"/>
                <w:sz w:val="21"/>
                <w:highlight w:val="none"/>
              </w:rPr>
            </w:pPr>
          </w:p>
        </w:tc>
        <w:tc>
          <w:tcPr>
            <w:tcW w:w="988" w:type="dxa"/>
            <w:vAlign w:val="top"/>
          </w:tcPr>
          <w:p w14:paraId="044EF720">
            <w:pPr>
              <w:rPr>
                <w:rFonts w:ascii="Arial"/>
                <w:sz w:val="21"/>
                <w:highlight w:val="none"/>
              </w:rPr>
            </w:pPr>
          </w:p>
        </w:tc>
        <w:tc>
          <w:tcPr>
            <w:tcW w:w="1175" w:type="dxa"/>
            <w:vAlign w:val="top"/>
          </w:tcPr>
          <w:p w14:paraId="4016B6EF">
            <w:pPr>
              <w:rPr>
                <w:rFonts w:ascii="Arial"/>
                <w:sz w:val="21"/>
                <w:highlight w:val="none"/>
              </w:rPr>
            </w:pPr>
          </w:p>
        </w:tc>
      </w:tr>
      <w:tr w14:paraId="6F6104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868" w:type="dxa"/>
            <w:vAlign w:val="top"/>
          </w:tcPr>
          <w:p w14:paraId="69D65915">
            <w:pPr>
              <w:rPr>
                <w:rFonts w:ascii="Arial"/>
                <w:sz w:val="21"/>
                <w:highlight w:val="none"/>
              </w:rPr>
            </w:pPr>
          </w:p>
        </w:tc>
        <w:tc>
          <w:tcPr>
            <w:tcW w:w="861" w:type="dxa"/>
            <w:vAlign w:val="top"/>
          </w:tcPr>
          <w:p w14:paraId="6B869557">
            <w:pPr>
              <w:rPr>
                <w:rFonts w:ascii="Arial"/>
                <w:sz w:val="21"/>
                <w:highlight w:val="none"/>
              </w:rPr>
            </w:pPr>
          </w:p>
        </w:tc>
        <w:tc>
          <w:tcPr>
            <w:tcW w:w="863" w:type="dxa"/>
            <w:vAlign w:val="top"/>
          </w:tcPr>
          <w:p w14:paraId="37B60D75">
            <w:pPr>
              <w:rPr>
                <w:rFonts w:ascii="Arial"/>
                <w:sz w:val="21"/>
                <w:highlight w:val="none"/>
              </w:rPr>
            </w:pPr>
          </w:p>
        </w:tc>
        <w:tc>
          <w:tcPr>
            <w:tcW w:w="861" w:type="dxa"/>
            <w:vAlign w:val="top"/>
          </w:tcPr>
          <w:p w14:paraId="4503E0C4">
            <w:pPr>
              <w:rPr>
                <w:rFonts w:ascii="Arial"/>
                <w:sz w:val="21"/>
                <w:highlight w:val="none"/>
              </w:rPr>
            </w:pPr>
          </w:p>
        </w:tc>
        <w:tc>
          <w:tcPr>
            <w:tcW w:w="864" w:type="dxa"/>
            <w:vAlign w:val="top"/>
          </w:tcPr>
          <w:p w14:paraId="3B034786">
            <w:pPr>
              <w:rPr>
                <w:rFonts w:ascii="Arial"/>
                <w:sz w:val="21"/>
                <w:highlight w:val="none"/>
              </w:rPr>
            </w:pPr>
          </w:p>
        </w:tc>
        <w:tc>
          <w:tcPr>
            <w:tcW w:w="861" w:type="dxa"/>
            <w:vAlign w:val="top"/>
          </w:tcPr>
          <w:p w14:paraId="0111CE51">
            <w:pPr>
              <w:rPr>
                <w:rFonts w:ascii="Arial"/>
                <w:sz w:val="21"/>
                <w:highlight w:val="none"/>
              </w:rPr>
            </w:pPr>
          </w:p>
        </w:tc>
        <w:tc>
          <w:tcPr>
            <w:tcW w:w="878" w:type="dxa"/>
            <w:vAlign w:val="top"/>
          </w:tcPr>
          <w:p w14:paraId="4BB0A32B">
            <w:pPr>
              <w:rPr>
                <w:rFonts w:ascii="Arial"/>
                <w:sz w:val="21"/>
                <w:highlight w:val="none"/>
              </w:rPr>
            </w:pPr>
          </w:p>
        </w:tc>
        <w:tc>
          <w:tcPr>
            <w:tcW w:w="1135" w:type="dxa"/>
            <w:vAlign w:val="top"/>
          </w:tcPr>
          <w:p w14:paraId="35B92164">
            <w:pPr>
              <w:rPr>
                <w:rFonts w:ascii="Arial"/>
                <w:sz w:val="21"/>
                <w:highlight w:val="none"/>
              </w:rPr>
            </w:pPr>
          </w:p>
        </w:tc>
        <w:tc>
          <w:tcPr>
            <w:tcW w:w="988" w:type="dxa"/>
            <w:vAlign w:val="top"/>
          </w:tcPr>
          <w:p w14:paraId="5768C8B0">
            <w:pPr>
              <w:rPr>
                <w:rFonts w:ascii="Arial"/>
                <w:sz w:val="21"/>
                <w:highlight w:val="none"/>
              </w:rPr>
            </w:pPr>
          </w:p>
        </w:tc>
        <w:tc>
          <w:tcPr>
            <w:tcW w:w="1175" w:type="dxa"/>
            <w:vAlign w:val="top"/>
          </w:tcPr>
          <w:p w14:paraId="03A2027A">
            <w:pPr>
              <w:rPr>
                <w:rFonts w:ascii="Arial"/>
                <w:sz w:val="21"/>
                <w:highlight w:val="none"/>
              </w:rPr>
            </w:pPr>
          </w:p>
        </w:tc>
      </w:tr>
      <w:tr w14:paraId="52A2AA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868" w:type="dxa"/>
            <w:vAlign w:val="top"/>
          </w:tcPr>
          <w:p w14:paraId="1C745070">
            <w:pPr>
              <w:rPr>
                <w:rFonts w:ascii="Arial"/>
                <w:sz w:val="21"/>
                <w:highlight w:val="none"/>
              </w:rPr>
            </w:pPr>
          </w:p>
        </w:tc>
        <w:tc>
          <w:tcPr>
            <w:tcW w:w="861" w:type="dxa"/>
            <w:vAlign w:val="top"/>
          </w:tcPr>
          <w:p w14:paraId="4FCED784">
            <w:pPr>
              <w:rPr>
                <w:rFonts w:ascii="Arial"/>
                <w:sz w:val="21"/>
                <w:highlight w:val="none"/>
              </w:rPr>
            </w:pPr>
          </w:p>
        </w:tc>
        <w:tc>
          <w:tcPr>
            <w:tcW w:w="863" w:type="dxa"/>
            <w:vAlign w:val="top"/>
          </w:tcPr>
          <w:p w14:paraId="2A15DEE8">
            <w:pPr>
              <w:rPr>
                <w:rFonts w:ascii="Arial"/>
                <w:sz w:val="21"/>
                <w:highlight w:val="none"/>
              </w:rPr>
            </w:pPr>
          </w:p>
        </w:tc>
        <w:tc>
          <w:tcPr>
            <w:tcW w:w="861" w:type="dxa"/>
            <w:vAlign w:val="top"/>
          </w:tcPr>
          <w:p w14:paraId="68CA2595">
            <w:pPr>
              <w:rPr>
                <w:rFonts w:ascii="Arial"/>
                <w:sz w:val="21"/>
                <w:highlight w:val="none"/>
              </w:rPr>
            </w:pPr>
          </w:p>
        </w:tc>
        <w:tc>
          <w:tcPr>
            <w:tcW w:w="864" w:type="dxa"/>
            <w:vAlign w:val="top"/>
          </w:tcPr>
          <w:p w14:paraId="1196D4BC">
            <w:pPr>
              <w:rPr>
                <w:rFonts w:ascii="Arial"/>
                <w:sz w:val="21"/>
                <w:highlight w:val="none"/>
              </w:rPr>
            </w:pPr>
          </w:p>
        </w:tc>
        <w:tc>
          <w:tcPr>
            <w:tcW w:w="861" w:type="dxa"/>
            <w:vAlign w:val="top"/>
          </w:tcPr>
          <w:p w14:paraId="293334A8">
            <w:pPr>
              <w:rPr>
                <w:rFonts w:ascii="Arial"/>
                <w:sz w:val="21"/>
                <w:highlight w:val="none"/>
              </w:rPr>
            </w:pPr>
          </w:p>
        </w:tc>
        <w:tc>
          <w:tcPr>
            <w:tcW w:w="878" w:type="dxa"/>
            <w:vAlign w:val="top"/>
          </w:tcPr>
          <w:p w14:paraId="1C3D477A">
            <w:pPr>
              <w:rPr>
                <w:rFonts w:ascii="Arial"/>
                <w:sz w:val="21"/>
                <w:highlight w:val="none"/>
              </w:rPr>
            </w:pPr>
          </w:p>
        </w:tc>
        <w:tc>
          <w:tcPr>
            <w:tcW w:w="1135" w:type="dxa"/>
            <w:vAlign w:val="top"/>
          </w:tcPr>
          <w:p w14:paraId="25FCA12F">
            <w:pPr>
              <w:rPr>
                <w:rFonts w:ascii="Arial"/>
                <w:sz w:val="21"/>
                <w:highlight w:val="none"/>
              </w:rPr>
            </w:pPr>
          </w:p>
        </w:tc>
        <w:tc>
          <w:tcPr>
            <w:tcW w:w="988" w:type="dxa"/>
            <w:vAlign w:val="top"/>
          </w:tcPr>
          <w:p w14:paraId="27A65E89">
            <w:pPr>
              <w:rPr>
                <w:rFonts w:ascii="Arial"/>
                <w:sz w:val="21"/>
                <w:highlight w:val="none"/>
              </w:rPr>
            </w:pPr>
          </w:p>
        </w:tc>
        <w:tc>
          <w:tcPr>
            <w:tcW w:w="1175" w:type="dxa"/>
            <w:vAlign w:val="top"/>
          </w:tcPr>
          <w:p w14:paraId="52383C40">
            <w:pPr>
              <w:rPr>
                <w:rFonts w:ascii="Arial"/>
                <w:sz w:val="21"/>
                <w:highlight w:val="none"/>
              </w:rPr>
            </w:pPr>
          </w:p>
        </w:tc>
      </w:tr>
      <w:tr w14:paraId="561B94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868" w:type="dxa"/>
            <w:vAlign w:val="top"/>
          </w:tcPr>
          <w:p w14:paraId="76A3F87D">
            <w:pPr>
              <w:rPr>
                <w:rFonts w:ascii="Arial"/>
                <w:sz w:val="21"/>
                <w:highlight w:val="none"/>
              </w:rPr>
            </w:pPr>
          </w:p>
        </w:tc>
        <w:tc>
          <w:tcPr>
            <w:tcW w:w="861" w:type="dxa"/>
            <w:vAlign w:val="top"/>
          </w:tcPr>
          <w:p w14:paraId="0483154A">
            <w:pPr>
              <w:rPr>
                <w:rFonts w:ascii="Arial"/>
                <w:sz w:val="21"/>
                <w:highlight w:val="none"/>
              </w:rPr>
            </w:pPr>
          </w:p>
        </w:tc>
        <w:tc>
          <w:tcPr>
            <w:tcW w:w="863" w:type="dxa"/>
            <w:vAlign w:val="top"/>
          </w:tcPr>
          <w:p w14:paraId="09D69A82">
            <w:pPr>
              <w:rPr>
                <w:rFonts w:ascii="Arial"/>
                <w:sz w:val="21"/>
                <w:highlight w:val="none"/>
              </w:rPr>
            </w:pPr>
          </w:p>
        </w:tc>
        <w:tc>
          <w:tcPr>
            <w:tcW w:w="861" w:type="dxa"/>
            <w:vAlign w:val="top"/>
          </w:tcPr>
          <w:p w14:paraId="2EBEE2A0">
            <w:pPr>
              <w:rPr>
                <w:rFonts w:ascii="Arial"/>
                <w:sz w:val="21"/>
                <w:highlight w:val="none"/>
              </w:rPr>
            </w:pPr>
          </w:p>
        </w:tc>
        <w:tc>
          <w:tcPr>
            <w:tcW w:w="864" w:type="dxa"/>
            <w:vAlign w:val="top"/>
          </w:tcPr>
          <w:p w14:paraId="6832B77F">
            <w:pPr>
              <w:rPr>
                <w:rFonts w:ascii="Arial"/>
                <w:sz w:val="21"/>
                <w:highlight w:val="none"/>
              </w:rPr>
            </w:pPr>
          </w:p>
        </w:tc>
        <w:tc>
          <w:tcPr>
            <w:tcW w:w="861" w:type="dxa"/>
            <w:vAlign w:val="top"/>
          </w:tcPr>
          <w:p w14:paraId="63307A2D">
            <w:pPr>
              <w:rPr>
                <w:rFonts w:ascii="Arial"/>
                <w:sz w:val="21"/>
                <w:highlight w:val="none"/>
              </w:rPr>
            </w:pPr>
          </w:p>
        </w:tc>
        <w:tc>
          <w:tcPr>
            <w:tcW w:w="878" w:type="dxa"/>
            <w:vAlign w:val="top"/>
          </w:tcPr>
          <w:p w14:paraId="4AC31CB9">
            <w:pPr>
              <w:rPr>
                <w:rFonts w:ascii="Arial"/>
                <w:sz w:val="21"/>
                <w:highlight w:val="none"/>
              </w:rPr>
            </w:pPr>
          </w:p>
        </w:tc>
        <w:tc>
          <w:tcPr>
            <w:tcW w:w="1135" w:type="dxa"/>
            <w:vAlign w:val="top"/>
          </w:tcPr>
          <w:p w14:paraId="66420AC2">
            <w:pPr>
              <w:rPr>
                <w:rFonts w:ascii="Arial"/>
                <w:sz w:val="21"/>
                <w:highlight w:val="none"/>
              </w:rPr>
            </w:pPr>
          </w:p>
        </w:tc>
        <w:tc>
          <w:tcPr>
            <w:tcW w:w="988" w:type="dxa"/>
            <w:vAlign w:val="top"/>
          </w:tcPr>
          <w:p w14:paraId="54CA10BC">
            <w:pPr>
              <w:rPr>
                <w:rFonts w:ascii="Arial"/>
                <w:sz w:val="21"/>
                <w:highlight w:val="none"/>
              </w:rPr>
            </w:pPr>
          </w:p>
        </w:tc>
        <w:tc>
          <w:tcPr>
            <w:tcW w:w="1175" w:type="dxa"/>
            <w:vAlign w:val="top"/>
          </w:tcPr>
          <w:p w14:paraId="76D56E0F">
            <w:pPr>
              <w:rPr>
                <w:rFonts w:ascii="Arial"/>
                <w:sz w:val="21"/>
                <w:highlight w:val="none"/>
              </w:rPr>
            </w:pPr>
          </w:p>
        </w:tc>
      </w:tr>
    </w:tbl>
    <w:p w14:paraId="3313DEE8">
      <w:pPr>
        <w:spacing w:line="369" w:lineRule="auto"/>
        <w:rPr>
          <w:rFonts w:ascii="Arial"/>
          <w:sz w:val="21"/>
          <w:highlight w:val="none"/>
        </w:rPr>
      </w:pPr>
    </w:p>
    <w:p w14:paraId="6AD3DA2B">
      <w:pPr>
        <w:pStyle w:val="8"/>
        <w:spacing w:before="69" w:line="221" w:lineRule="auto"/>
        <w:ind w:left="1808"/>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注：1、</w:t>
      </w:r>
      <w:r>
        <w:rPr>
          <w:rFonts w:hint="eastAsia" w:ascii="宋体" w:hAnsi="宋体" w:eastAsia="宋体" w:cs="宋体"/>
          <w:spacing w:val="-1"/>
          <w:sz w:val="24"/>
          <w:szCs w:val="24"/>
          <w:highlight w:val="none"/>
          <w:lang w:val="en-US" w:eastAsia="zh-CN"/>
        </w:rPr>
        <w:t>2023年</w:t>
      </w:r>
      <w:r>
        <w:rPr>
          <w:rFonts w:hint="eastAsia" w:cs="宋体"/>
          <w:spacing w:val="-1"/>
          <w:sz w:val="24"/>
          <w:szCs w:val="24"/>
          <w:highlight w:val="none"/>
          <w:lang w:val="en-US" w:eastAsia="zh-CN"/>
        </w:rPr>
        <w:t>6</w:t>
      </w:r>
      <w:r>
        <w:rPr>
          <w:rFonts w:hint="eastAsia" w:ascii="宋体" w:hAnsi="宋体" w:eastAsia="宋体" w:cs="宋体"/>
          <w:spacing w:val="-1"/>
          <w:sz w:val="24"/>
          <w:szCs w:val="24"/>
          <w:highlight w:val="none"/>
          <w:lang w:val="en-US" w:eastAsia="zh-CN"/>
        </w:rPr>
        <w:t>月1日至2026年</w:t>
      </w:r>
      <w:r>
        <w:rPr>
          <w:rFonts w:hint="eastAsia" w:cs="宋体"/>
          <w:spacing w:val="-1"/>
          <w:sz w:val="24"/>
          <w:szCs w:val="24"/>
          <w:highlight w:val="none"/>
          <w:lang w:val="en-US" w:eastAsia="zh-CN"/>
        </w:rPr>
        <w:t>5</w:t>
      </w:r>
      <w:r>
        <w:rPr>
          <w:rFonts w:hint="eastAsia" w:ascii="宋体" w:hAnsi="宋体" w:eastAsia="宋体" w:cs="宋体"/>
          <w:spacing w:val="-1"/>
          <w:sz w:val="24"/>
          <w:szCs w:val="24"/>
          <w:highlight w:val="none"/>
          <w:lang w:val="en-US" w:eastAsia="zh-CN"/>
        </w:rPr>
        <w:t>月</w:t>
      </w:r>
      <w:r>
        <w:rPr>
          <w:rFonts w:hint="eastAsia" w:cs="宋体"/>
          <w:spacing w:val="-1"/>
          <w:sz w:val="24"/>
          <w:szCs w:val="24"/>
          <w:highlight w:val="none"/>
          <w:lang w:val="en-US" w:eastAsia="zh-CN"/>
        </w:rPr>
        <w:t>31</w:t>
      </w:r>
      <w:r>
        <w:rPr>
          <w:rFonts w:hint="eastAsia" w:ascii="宋体" w:hAnsi="宋体" w:eastAsia="宋体" w:cs="宋体"/>
          <w:spacing w:val="-1"/>
          <w:sz w:val="24"/>
          <w:szCs w:val="24"/>
          <w:highlight w:val="none"/>
          <w:lang w:val="en-US" w:eastAsia="zh-CN"/>
        </w:rPr>
        <w:t>日签订的金额≥</w:t>
      </w:r>
      <w:r>
        <w:rPr>
          <w:rFonts w:hint="eastAsia" w:cs="宋体"/>
          <w:spacing w:val="-1"/>
          <w:sz w:val="24"/>
          <w:szCs w:val="24"/>
          <w:highlight w:val="none"/>
          <w:lang w:val="en-US" w:eastAsia="zh-CN"/>
        </w:rPr>
        <w:t>5</w:t>
      </w:r>
      <w:r>
        <w:rPr>
          <w:rFonts w:hint="eastAsia" w:ascii="宋体" w:hAnsi="宋体" w:eastAsia="宋体" w:cs="宋体"/>
          <w:spacing w:val="-1"/>
          <w:sz w:val="24"/>
          <w:szCs w:val="24"/>
          <w:highlight w:val="none"/>
          <w:lang w:val="en-US" w:eastAsia="zh-CN"/>
        </w:rPr>
        <w:t>万元人民币以上的</w:t>
      </w:r>
    </w:p>
    <w:p w14:paraId="54C5D74C">
      <w:pPr>
        <w:pStyle w:val="8"/>
        <w:spacing w:before="69" w:line="221" w:lineRule="auto"/>
        <w:ind w:left="1808" w:firstLine="476" w:firstLineChars="200"/>
        <w:rPr>
          <w:rFonts w:hint="eastAsia" w:ascii="宋体" w:hAnsi="宋体" w:eastAsia="宋体" w:cs="宋体"/>
          <w:sz w:val="24"/>
          <w:szCs w:val="24"/>
          <w:highlight w:val="none"/>
        </w:rPr>
      </w:pPr>
      <w:r>
        <w:rPr>
          <w:rFonts w:hint="eastAsia" w:ascii="宋体" w:hAnsi="宋体" w:eastAsia="宋体" w:cs="宋体"/>
          <w:spacing w:val="-1"/>
          <w:sz w:val="24"/>
          <w:szCs w:val="24"/>
          <w:highlight w:val="none"/>
          <w:lang w:val="en-US" w:eastAsia="zh-CN"/>
        </w:rPr>
        <w:t>2、</w:t>
      </w:r>
      <w:r>
        <w:rPr>
          <w:rFonts w:hint="eastAsia" w:ascii="宋体" w:hAnsi="宋体" w:eastAsia="宋体" w:cs="宋体"/>
          <w:spacing w:val="-1"/>
          <w:sz w:val="24"/>
          <w:szCs w:val="24"/>
          <w:highlight w:val="none"/>
        </w:rPr>
        <w:t>合同状态请填写“已完成”或“正在实施”。</w:t>
      </w:r>
    </w:p>
    <w:p w14:paraId="35C9A614">
      <w:pPr>
        <w:spacing w:line="221" w:lineRule="auto"/>
        <w:rPr>
          <w:sz w:val="21"/>
          <w:szCs w:val="21"/>
          <w:highlight w:val="none"/>
        </w:rPr>
      </w:pPr>
    </w:p>
    <w:p w14:paraId="3ECB99CD">
      <w:pPr>
        <w:spacing w:line="221" w:lineRule="auto"/>
        <w:rPr>
          <w:sz w:val="21"/>
          <w:szCs w:val="21"/>
          <w:highlight w:val="none"/>
        </w:rPr>
        <w:sectPr>
          <w:footerReference r:id="rId11" w:type="default"/>
          <w:pgSz w:w="11900" w:h="16841"/>
          <w:pgMar w:top="1440" w:right="1080" w:bottom="1440" w:left="1080" w:header="0" w:footer="1057" w:gutter="0"/>
          <w:pgNumType w:fmt="decimal"/>
          <w:cols w:space="720" w:num="1"/>
        </w:sectPr>
      </w:pPr>
    </w:p>
    <w:p w14:paraId="1509EC7E">
      <w:pPr>
        <w:spacing w:line="245" w:lineRule="auto"/>
        <w:rPr>
          <w:rFonts w:ascii="Arial"/>
          <w:sz w:val="21"/>
          <w:highlight w:val="none"/>
        </w:rPr>
      </w:pPr>
    </w:p>
    <w:p w14:paraId="5685088B">
      <w:pPr>
        <w:spacing w:line="245" w:lineRule="auto"/>
        <w:rPr>
          <w:rFonts w:ascii="Arial"/>
          <w:sz w:val="21"/>
          <w:highlight w:val="none"/>
        </w:rPr>
      </w:pPr>
    </w:p>
    <w:p w14:paraId="7221238F">
      <w:pPr>
        <w:spacing w:line="245" w:lineRule="auto"/>
        <w:rPr>
          <w:rFonts w:ascii="Arial"/>
          <w:sz w:val="21"/>
          <w:highlight w:val="none"/>
        </w:rPr>
      </w:pPr>
    </w:p>
    <w:p w14:paraId="30C74FD2">
      <w:pPr>
        <w:spacing w:line="245" w:lineRule="auto"/>
        <w:rPr>
          <w:rFonts w:ascii="Arial"/>
          <w:sz w:val="21"/>
          <w:highlight w:val="none"/>
        </w:rPr>
      </w:pPr>
    </w:p>
    <w:p w14:paraId="20217F5A">
      <w:pPr>
        <w:spacing w:before="91" w:line="221" w:lineRule="auto"/>
        <w:ind w:left="4883"/>
        <w:rPr>
          <w:rFonts w:ascii="黑体" w:hAnsi="黑体" w:eastAsia="黑体" w:cs="黑体"/>
          <w:sz w:val="28"/>
          <w:szCs w:val="28"/>
          <w:highlight w:val="none"/>
        </w:rPr>
      </w:pPr>
      <w:r>
        <w:rPr>
          <w:rFonts w:hint="eastAsia" w:ascii="黑体" w:hAnsi="黑体" w:eastAsia="黑体" w:cs="黑体"/>
          <w:spacing w:val="-9"/>
          <w:sz w:val="28"/>
          <w:szCs w:val="28"/>
          <w:highlight w:val="none"/>
          <w:lang w:eastAsia="zh-CN"/>
        </w:rPr>
        <w:t>（</w:t>
      </w:r>
      <w:r>
        <w:rPr>
          <w:rFonts w:hint="eastAsia" w:ascii="黑体" w:hAnsi="黑体" w:eastAsia="黑体" w:cs="黑体"/>
          <w:spacing w:val="-9"/>
          <w:sz w:val="28"/>
          <w:szCs w:val="28"/>
          <w:highlight w:val="none"/>
          <w:lang w:val="en-US" w:eastAsia="zh-CN"/>
        </w:rPr>
        <w:t>2</w:t>
      </w:r>
      <w:r>
        <w:rPr>
          <w:rFonts w:hint="eastAsia" w:ascii="黑体" w:hAnsi="黑体" w:eastAsia="黑体" w:cs="黑体"/>
          <w:spacing w:val="-9"/>
          <w:sz w:val="28"/>
          <w:szCs w:val="28"/>
          <w:highlight w:val="none"/>
          <w:lang w:eastAsia="zh-CN"/>
        </w:rPr>
        <w:t>）</w:t>
      </w:r>
      <w:r>
        <w:rPr>
          <w:rFonts w:ascii="黑体" w:hAnsi="黑体" w:eastAsia="黑体" w:cs="黑体"/>
          <w:spacing w:val="-9"/>
          <w:sz w:val="28"/>
          <w:szCs w:val="28"/>
          <w:highlight w:val="none"/>
        </w:rPr>
        <w:t>同类项目情况表</w:t>
      </w:r>
    </w:p>
    <w:p w14:paraId="5205E3D6">
      <w:pPr>
        <w:pStyle w:val="8"/>
        <w:spacing w:before="201" w:line="212" w:lineRule="auto"/>
        <w:ind w:left="2407"/>
        <w:rPr>
          <w:spacing w:val="-12"/>
          <w:sz w:val="21"/>
          <w:szCs w:val="21"/>
          <w:highlight w:val="none"/>
        </w:rPr>
      </w:pPr>
      <w:r>
        <w:rPr>
          <w:spacing w:val="-12"/>
          <w:sz w:val="21"/>
          <w:szCs w:val="21"/>
          <w:highlight w:val="none"/>
        </w:rPr>
        <w:t>序号：</w:t>
      </w:r>
    </w:p>
    <w:p w14:paraId="19473354">
      <w:pPr>
        <w:rPr>
          <w:highlight w:val="none"/>
        </w:rPr>
      </w:pPr>
    </w:p>
    <w:tbl>
      <w:tblPr>
        <w:tblStyle w:val="23"/>
        <w:tblW w:w="9038" w:type="dxa"/>
        <w:tblInd w:w="18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97"/>
        <w:gridCol w:w="5941"/>
      </w:tblGrid>
      <w:tr w14:paraId="5540D9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3097" w:type="dxa"/>
            <w:vAlign w:val="top"/>
          </w:tcPr>
          <w:p w14:paraId="6627C3C4">
            <w:pPr>
              <w:pStyle w:val="24"/>
              <w:spacing w:before="116" w:line="221" w:lineRule="auto"/>
              <w:ind w:left="419"/>
              <w:rPr>
                <w:highlight w:val="none"/>
              </w:rPr>
            </w:pPr>
            <w:r>
              <w:rPr>
                <w:spacing w:val="-3"/>
                <w:highlight w:val="none"/>
              </w:rPr>
              <w:t>同类业绩要求的设备名称</w:t>
            </w:r>
          </w:p>
        </w:tc>
        <w:tc>
          <w:tcPr>
            <w:tcW w:w="5941" w:type="dxa"/>
            <w:vAlign w:val="top"/>
          </w:tcPr>
          <w:p w14:paraId="7F9F82A9">
            <w:pPr>
              <w:rPr>
                <w:rFonts w:ascii="Arial"/>
                <w:sz w:val="21"/>
                <w:highlight w:val="none"/>
              </w:rPr>
            </w:pPr>
          </w:p>
        </w:tc>
      </w:tr>
      <w:tr w14:paraId="31349D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3097" w:type="dxa"/>
            <w:vAlign w:val="top"/>
          </w:tcPr>
          <w:p w14:paraId="6E49A91A">
            <w:pPr>
              <w:pStyle w:val="24"/>
              <w:spacing w:before="109" w:line="221" w:lineRule="auto"/>
              <w:ind w:left="1028"/>
              <w:rPr>
                <w:highlight w:val="none"/>
              </w:rPr>
            </w:pPr>
            <w:r>
              <w:rPr>
                <w:spacing w:val="-2"/>
                <w:highlight w:val="none"/>
              </w:rPr>
              <w:t>规格和型号</w:t>
            </w:r>
          </w:p>
        </w:tc>
        <w:tc>
          <w:tcPr>
            <w:tcW w:w="5941" w:type="dxa"/>
            <w:vAlign w:val="top"/>
          </w:tcPr>
          <w:p w14:paraId="665806A9">
            <w:pPr>
              <w:rPr>
                <w:rFonts w:ascii="Arial"/>
                <w:sz w:val="21"/>
                <w:highlight w:val="none"/>
              </w:rPr>
            </w:pPr>
          </w:p>
        </w:tc>
      </w:tr>
      <w:tr w14:paraId="556B9A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3097" w:type="dxa"/>
            <w:vAlign w:val="top"/>
          </w:tcPr>
          <w:p w14:paraId="4CEA216F">
            <w:pPr>
              <w:pStyle w:val="24"/>
              <w:spacing w:before="110" w:line="222" w:lineRule="auto"/>
              <w:ind w:left="1137"/>
              <w:rPr>
                <w:highlight w:val="none"/>
              </w:rPr>
            </w:pPr>
            <w:r>
              <w:rPr>
                <w:spacing w:val="-3"/>
                <w:highlight w:val="none"/>
              </w:rPr>
              <w:t>项目名称</w:t>
            </w:r>
          </w:p>
        </w:tc>
        <w:tc>
          <w:tcPr>
            <w:tcW w:w="5941" w:type="dxa"/>
            <w:vAlign w:val="top"/>
          </w:tcPr>
          <w:p w14:paraId="0503434B">
            <w:pPr>
              <w:rPr>
                <w:rFonts w:ascii="Arial"/>
                <w:sz w:val="21"/>
                <w:highlight w:val="none"/>
              </w:rPr>
            </w:pPr>
          </w:p>
        </w:tc>
      </w:tr>
      <w:tr w14:paraId="079078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3097" w:type="dxa"/>
            <w:vAlign w:val="top"/>
          </w:tcPr>
          <w:p w14:paraId="7B74AD42">
            <w:pPr>
              <w:pStyle w:val="24"/>
              <w:spacing w:before="110" w:line="222" w:lineRule="auto"/>
              <w:ind w:left="1141"/>
              <w:rPr>
                <w:highlight w:val="none"/>
              </w:rPr>
            </w:pPr>
            <w:r>
              <w:rPr>
                <w:spacing w:val="-4"/>
                <w:highlight w:val="none"/>
              </w:rPr>
              <w:t>买方名称</w:t>
            </w:r>
          </w:p>
        </w:tc>
        <w:tc>
          <w:tcPr>
            <w:tcW w:w="5941" w:type="dxa"/>
            <w:vAlign w:val="top"/>
          </w:tcPr>
          <w:p w14:paraId="64CA10F2">
            <w:pPr>
              <w:rPr>
                <w:rFonts w:ascii="Arial"/>
                <w:sz w:val="21"/>
                <w:highlight w:val="none"/>
              </w:rPr>
            </w:pPr>
          </w:p>
        </w:tc>
      </w:tr>
      <w:tr w14:paraId="3DC0D0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3097" w:type="dxa"/>
            <w:vAlign w:val="top"/>
          </w:tcPr>
          <w:p w14:paraId="18C8EBCA">
            <w:pPr>
              <w:pStyle w:val="24"/>
              <w:spacing w:before="111" w:line="222" w:lineRule="auto"/>
              <w:ind w:left="721"/>
              <w:rPr>
                <w:highlight w:val="none"/>
              </w:rPr>
            </w:pPr>
            <w:r>
              <w:rPr>
                <w:spacing w:val="-2"/>
                <w:highlight w:val="none"/>
              </w:rPr>
              <w:t>买方联系人及电话</w:t>
            </w:r>
          </w:p>
        </w:tc>
        <w:tc>
          <w:tcPr>
            <w:tcW w:w="5941" w:type="dxa"/>
            <w:vAlign w:val="top"/>
          </w:tcPr>
          <w:p w14:paraId="4F5B4A76">
            <w:pPr>
              <w:rPr>
                <w:rFonts w:ascii="Arial"/>
                <w:sz w:val="21"/>
                <w:highlight w:val="none"/>
              </w:rPr>
            </w:pPr>
          </w:p>
        </w:tc>
      </w:tr>
      <w:tr w14:paraId="1DF60C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3097" w:type="dxa"/>
            <w:vAlign w:val="top"/>
          </w:tcPr>
          <w:p w14:paraId="609FBFD8">
            <w:pPr>
              <w:pStyle w:val="24"/>
              <w:spacing w:before="111" w:line="220" w:lineRule="auto"/>
              <w:ind w:left="1134"/>
              <w:rPr>
                <w:highlight w:val="none"/>
              </w:rPr>
            </w:pPr>
            <w:r>
              <w:rPr>
                <w:spacing w:val="-2"/>
                <w:highlight w:val="none"/>
              </w:rPr>
              <w:t>合同价格</w:t>
            </w:r>
          </w:p>
        </w:tc>
        <w:tc>
          <w:tcPr>
            <w:tcW w:w="5941" w:type="dxa"/>
            <w:vAlign w:val="top"/>
          </w:tcPr>
          <w:p w14:paraId="6F90C6D0">
            <w:pPr>
              <w:rPr>
                <w:rFonts w:ascii="Arial"/>
                <w:sz w:val="21"/>
                <w:highlight w:val="none"/>
              </w:rPr>
            </w:pPr>
          </w:p>
        </w:tc>
      </w:tr>
      <w:tr w14:paraId="6D297C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5" w:hRule="atLeast"/>
        </w:trPr>
        <w:tc>
          <w:tcPr>
            <w:tcW w:w="3097" w:type="dxa"/>
            <w:vAlign w:val="top"/>
          </w:tcPr>
          <w:p w14:paraId="3CA94A55">
            <w:pPr>
              <w:pStyle w:val="24"/>
              <w:spacing w:before="150" w:line="361" w:lineRule="auto"/>
              <w:ind w:left="928" w:right="178" w:hanging="741"/>
              <w:rPr>
                <w:highlight w:val="none"/>
              </w:rPr>
            </w:pPr>
            <w:r>
              <w:rPr>
                <w:spacing w:val="-1"/>
                <w:highlight w:val="none"/>
              </w:rPr>
              <w:t>验收日期或业主证明中的项目</w:t>
            </w:r>
            <w:r>
              <w:rPr>
                <w:spacing w:val="8"/>
                <w:highlight w:val="none"/>
              </w:rPr>
              <w:t xml:space="preserve"> </w:t>
            </w:r>
            <w:r>
              <w:rPr>
                <w:spacing w:val="-2"/>
                <w:highlight w:val="none"/>
              </w:rPr>
              <w:t>正式运行日期</w:t>
            </w:r>
          </w:p>
        </w:tc>
        <w:tc>
          <w:tcPr>
            <w:tcW w:w="5941" w:type="dxa"/>
            <w:vAlign w:val="top"/>
          </w:tcPr>
          <w:p w14:paraId="6B21FC4C">
            <w:pPr>
              <w:rPr>
                <w:rFonts w:ascii="Arial"/>
                <w:sz w:val="21"/>
                <w:highlight w:val="none"/>
              </w:rPr>
            </w:pPr>
          </w:p>
        </w:tc>
      </w:tr>
      <w:tr w14:paraId="537711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3097" w:type="dxa"/>
            <w:vAlign w:val="top"/>
          </w:tcPr>
          <w:p w14:paraId="4805A465">
            <w:pPr>
              <w:pStyle w:val="24"/>
              <w:spacing w:before="115" w:line="221" w:lineRule="auto"/>
              <w:ind w:left="297"/>
              <w:rPr>
                <w:highlight w:val="none"/>
              </w:rPr>
            </w:pPr>
            <w:r>
              <w:rPr>
                <w:spacing w:val="-1"/>
                <w:highlight w:val="none"/>
              </w:rPr>
              <w:t>项目概况及投标人履约情况</w:t>
            </w:r>
          </w:p>
        </w:tc>
        <w:tc>
          <w:tcPr>
            <w:tcW w:w="5941" w:type="dxa"/>
            <w:vAlign w:val="top"/>
          </w:tcPr>
          <w:p w14:paraId="50ADF96F">
            <w:pPr>
              <w:rPr>
                <w:rFonts w:ascii="Arial"/>
                <w:sz w:val="21"/>
                <w:highlight w:val="none"/>
              </w:rPr>
            </w:pPr>
          </w:p>
        </w:tc>
      </w:tr>
      <w:tr w14:paraId="7F588F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3097" w:type="dxa"/>
            <w:vAlign w:val="top"/>
          </w:tcPr>
          <w:p w14:paraId="38DBF7C5">
            <w:pPr>
              <w:pStyle w:val="24"/>
              <w:spacing w:before="112" w:line="223" w:lineRule="auto"/>
              <w:ind w:left="1347"/>
              <w:rPr>
                <w:highlight w:val="none"/>
              </w:rPr>
            </w:pPr>
            <w:r>
              <w:rPr>
                <w:spacing w:val="-3"/>
                <w:highlight w:val="none"/>
              </w:rPr>
              <w:t>备注</w:t>
            </w:r>
          </w:p>
        </w:tc>
        <w:tc>
          <w:tcPr>
            <w:tcW w:w="5941" w:type="dxa"/>
            <w:vAlign w:val="top"/>
          </w:tcPr>
          <w:p w14:paraId="5AE648D9">
            <w:pPr>
              <w:rPr>
                <w:rFonts w:ascii="Arial"/>
                <w:sz w:val="21"/>
                <w:highlight w:val="none"/>
              </w:rPr>
            </w:pPr>
          </w:p>
        </w:tc>
      </w:tr>
    </w:tbl>
    <w:p w14:paraId="1D2A92E6">
      <w:pPr>
        <w:spacing w:line="444" w:lineRule="auto"/>
        <w:rPr>
          <w:rFonts w:ascii="Arial"/>
          <w:sz w:val="21"/>
          <w:highlight w:val="none"/>
        </w:rPr>
      </w:pPr>
    </w:p>
    <w:p w14:paraId="3D7671A2">
      <w:pPr>
        <w:pStyle w:val="8"/>
        <w:spacing w:before="68" w:line="221" w:lineRule="auto"/>
        <w:ind w:left="1808"/>
        <w:rPr>
          <w:sz w:val="21"/>
          <w:szCs w:val="21"/>
          <w:highlight w:val="none"/>
        </w:rPr>
      </w:pPr>
      <w:r>
        <w:rPr>
          <w:spacing w:val="-1"/>
          <w:sz w:val="21"/>
          <w:szCs w:val="21"/>
          <w:highlight w:val="none"/>
        </w:rPr>
        <w:t>注：1.每张表格只填写一个项目，并标明序号。表格可根据项目信息需要细化。</w:t>
      </w:r>
    </w:p>
    <w:p w14:paraId="67C1244E">
      <w:pPr>
        <w:pStyle w:val="8"/>
        <w:spacing w:before="155" w:line="221" w:lineRule="auto"/>
        <w:ind w:left="2230"/>
        <w:rPr>
          <w:rFonts w:hint="eastAsia" w:ascii="宋体" w:hAnsi="宋体" w:eastAsia="宋体" w:cs="宋体"/>
          <w:sz w:val="21"/>
          <w:szCs w:val="21"/>
          <w:highlight w:val="none"/>
        </w:rPr>
      </w:pPr>
      <w:r>
        <w:rPr>
          <w:spacing w:val="-1"/>
          <w:sz w:val="21"/>
          <w:szCs w:val="21"/>
          <w:highlight w:val="none"/>
        </w:rPr>
        <w:t>2</w:t>
      </w:r>
      <w:r>
        <w:rPr>
          <w:rFonts w:hint="eastAsia" w:ascii="宋体" w:hAnsi="宋体" w:eastAsia="宋体" w:cs="宋体"/>
          <w:spacing w:val="-1"/>
          <w:sz w:val="21"/>
          <w:szCs w:val="21"/>
          <w:highlight w:val="none"/>
        </w:rPr>
        <w:t>.在本表后附</w:t>
      </w:r>
      <w:r>
        <w:rPr>
          <w:rFonts w:hint="eastAsia" w:ascii="宋体" w:hAnsi="宋体" w:eastAsia="宋体" w:cs="宋体"/>
          <w:spacing w:val="-2"/>
          <w:sz w:val="21"/>
          <w:szCs w:val="21"/>
          <w:highlight w:val="none"/>
        </w:rPr>
        <w:t>相关证明材料</w:t>
      </w:r>
      <w:r>
        <w:rPr>
          <w:rFonts w:hint="eastAsia" w:ascii="宋体" w:hAnsi="宋体" w:eastAsia="宋体" w:cs="宋体"/>
          <w:spacing w:val="-2"/>
          <w:sz w:val="21"/>
          <w:szCs w:val="21"/>
          <w:highlight w:val="none"/>
          <w:lang w:eastAsia="zh-CN"/>
        </w:rPr>
        <w:t>，</w:t>
      </w:r>
      <w:r>
        <w:rPr>
          <w:rFonts w:hint="eastAsia" w:ascii="宋体" w:hAnsi="宋体" w:eastAsia="宋体" w:cs="宋体"/>
          <w:spacing w:val="-1"/>
          <w:sz w:val="21"/>
          <w:szCs w:val="21"/>
          <w:highlight w:val="none"/>
          <w:lang w:val="en-US" w:eastAsia="zh-CN"/>
        </w:rPr>
        <w:t>2023年</w:t>
      </w:r>
      <w:r>
        <w:rPr>
          <w:rFonts w:hint="eastAsia" w:cs="宋体"/>
          <w:spacing w:val="-1"/>
          <w:sz w:val="21"/>
          <w:szCs w:val="21"/>
          <w:highlight w:val="none"/>
          <w:lang w:val="en-US" w:eastAsia="zh-CN"/>
        </w:rPr>
        <w:t>6</w:t>
      </w:r>
      <w:r>
        <w:rPr>
          <w:rFonts w:hint="eastAsia" w:ascii="宋体" w:hAnsi="宋体" w:eastAsia="宋体" w:cs="宋体"/>
          <w:spacing w:val="-1"/>
          <w:sz w:val="21"/>
          <w:szCs w:val="21"/>
          <w:highlight w:val="none"/>
          <w:lang w:val="en-US" w:eastAsia="zh-CN"/>
        </w:rPr>
        <w:t>月1日至2026年</w:t>
      </w:r>
      <w:r>
        <w:rPr>
          <w:rFonts w:hint="eastAsia" w:cs="宋体"/>
          <w:spacing w:val="-1"/>
          <w:sz w:val="21"/>
          <w:szCs w:val="21"/>
          <w:highlight w:val="none"/>
          <w:lang w:val="en-US" w:eastAsia="zh-CN"/>
        </w:rPr>
        <w:t>5</w:t>
      </w:r>
      <w:r>
        <w:rPr>
          <w:rFonts w:hint="eastAsia" w:ascii="宋体" w:hAnsi="宋体" w:eastAsia="宋体" w:cs="宋体"/>
          <w:spacing w:val="-1"/>
          <w:sz w:val="21"/>
          <w:szCs w:val="21"/>
          <w:highlight w:val="none"/>
          <w:lang w:val="en-US" w:eastAsia="zh-CN"/>
        </w:rPr>
        <w:t>月</w:t>
      </w:r>
      <w:r>
        <w:rPr>
          <w:rFonts w:hint="eastAsia" w:cs="宋体"/>
          <w:spacing w:val="-1"/>
          <w:sz w:val="21"/>
          <w:szCs w:val="21"/>
          <w:highlight w:val="none"/>
          <w:lang w:val="en-US" w:eastAsia="zh-CN"/>
        </w:rPr>
        <w:t>31</w:t>
      </w:r>
      <w:r>
        <w:rPr>
          <w:rFonts w:hint="eastAsia" w:ascii="宋体" w:hAnsi="宋体" w:eastAsia="宋体" w:cs="宋体"/>
          <w:spacing w:val="-1"/>
          <w:sz w:val="21"/>
          <w:szCs w:val="21"/>
          <w:highlight w:val="none"/>
          <w:lang w:val="en-US" w:eastAsia="zh-CN"/>
        </w:rPr>
        <w:t>日签订的金额≥</w:t>
      </w:r>
      <w:r>
        <w:rPr>
          <w:rFonts w:hint="eastAsia" w:cs="宋体"/>
          <w:spacing w:val="-1"/>
          <w:sz w:val="21"/>
          <w:szCs w:val="21"/>
          <w:highlight w:val="none"/>
          <w:lang w:val="en-US" w:eastAsia="zh-CN"/>
        </w:rPr>
        <w:t>5</w:t>
      </w:r>
      <w:r>
        <w:rPr>
          <w:rFonts w:hint="eastAsia" w:ascii="宋体" w:hAnsi="宋体" w:eastAsia="宋体" w:cs="宋体"/>
          <w:spacing w:val="-1"/>
          <w:sz w:val="21"/>
          <w:szCs w:val="21"/>
          <w:highlight w:val="none"/>
          <w:lang w:val="en-US" w:eastAsia="zh-CN"/>
        </w:rPr>
        <w:t>万元人民币以上的合同</w:t>
      </w:r>
      <w:r>
        <w:rPr>
          <w:rFonts w:hint="eastAsia" w:ascii="宋体" w:hAnsi="宋体" w:eastAsia="宋体" w:cs="宋体"/>
          <w:spacing w:val="-2"/>
          <w:sz w:val="21"/>
          <w:szCs w:val="21"/>
          <w:highlight w:val="none"/>
        </w:rPr>
        <w:t>。</w:t>
      </w:r>
    </w:p>
    <w:p w14:paraId="0FC0A2C6">
      <w:pPr>
        <w:pStyle w:val="8"/>
        <w:spacing w:before="158" w:line="361" w:lineRule="auto"/>
        <w:ind w:left="1807" w:right="1932" w:firstLine="423"/>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投标人应在本表后提供类似项目（同类项目）业绩相关证明材料。合同页数过多可附</w:t>
      </w:r>
      <w:r>
        <w:rPr>
          <w:rFonts w:hint="eastAsia" w:ascii="宋体" w:hAnsi="宋体" w:eastAsia="宋体" w:cs="宋体"/>
          <w:spacing w:val="2"/>
          <w:sz w:val="21"/>
          <w:szCs w:val="21"/>
          <w:highlight w:val="none"/>
        </w:rPr>
        <w:t xml:space="preserve"> </w:t>
      </w:r>
      <w:r>
        <w:rPr>
          <w:rFonts w:hint="eastAsia" w:ascii="宋体" w:hAnsi="宋体" w:eastAsia="宋体" w:cs="宋体"/>
          <w:spacing w:val="-1"/>
          <w:sz w:val="21"/>
          <w:szCs w:val="21"/>
          <w:highlight w:val="none"/>
        </w:rPr>
        <w:t>封面页、合同范围页、签字盖章页等关键页。</w:t>
      </w:r>
      <w:r>
        <w:rPr>
          <w:rFonts w:hint="eastAsia" w:ascii="宋体" w:hAnsi="宋体" w:eastAsia="宋体" w:cs="宋体"/>
          <w:b/>
          <w:bCs/>
          <w:spacing w:val="-1"/>
          <w:sz w:val="21"/>
          <w:szCs w:val="21"/>
          <w:highlight w:val="none"/>
        </w:rPr>
        <w:t>未按要求附证明材料的，该项业绩不予认</w:t>
      </w:r>
      <w:r>
        <w:rPr>
          <w:rFonts w:hint="eastAsia" w:ascii="宋体" w:hAnsi="宋体" w:eastAsia="宋体" w:cs="宋体"/>
          <w:spacing w:val="3"/>
          <w:sz w:val="21"/>
          <w:szCs w:val="21"/>
          <w:highlight w:val="none"/>
        </w:rPr>
        <w:t xml:space="preserve">  </w:t>
      </w:r>
      <w:r>
        <w:rPr>
          <w:rFonts w:hint="eastAsia" w:ascii="宋体" w:hAnsi="宋体" w:eastAsia="宋体" w:cs="宋体"/>
          <w:b/>
          <w:bCs/>
          <w:spacing w:val="-12"/>
          <w:sz w:val="21"/>
          <w:szCs w:val="21"/>
          <w:highlight w:val="none"/>
        </w:rPr>
        <w:t>定。</w:t>
      </w:r>
    </w:p>
    <w:p w14:paraId="40BA176F">
      <w:pPr>
        <w:spacing w:line="361" w:lineRule="auto"/>
        <w:rPr>
          <w:sz w:val="21"/>
          <w:szCs w:val="21"/>
          <w:highlight w:val="none"/>
        </w:rPr>
      </w:pPr>
    </w:p>
    <w:p w14:paraId="0EE32794">
      <w:pPr>
        <w:spacing w:line="361" w:lineRule="auto"/>
        <w:rPr>
          <w:sz w:val="21"/>
          <w:szCs w:val="21"/>
          <w:highlight w:val="none"/>
        </w:rPr>
        <w:sectPr>
          <w:footerReference r:id="rId12" w:type="default"/>
          <w:pgSz w:w="11900" w:h="16841"/>
          <w:pgMar w:top="400" w:right="0" w:bottom="1292" w:left="0" w:header="0" w:footer="1057" w:gutter="0"/>
          <w:pgNumType w:fmt="decimal"/>
          <w:cols w:space="720" w:num="1"/>
        </w:sectPr>
      </w:pPr>
    </w:p>
    <w:p w14:paraId="34275E41">
      <w:pPr>
        <w:spacing w:line="244" w:lineRule="auto"/>
        <w:rPr>
          <w:rFonts w:ascii="Arial"/>
          <w:sz w:val="21"/>
          <w:highlight w:val="none"/>
        </w:rPr>
      </w:pPr>
    </w:p>
    <w:p w14:paraId="2EE6B893">
      <w:pPr>
        <w:spacing w:line="244" w:lineRule="auto"/>
        <w:rPr>
          <w:rFonts w:ascii="Arial"/>
          <w:sz w:val="21"/>
          <w:highlight w:val="none"/>
        </w:rPr>
      </w:pPr>
    </w:p>
    <w:p w14:paraId="58012ACC">
      <w:pPr>
        <w:spacing w:line="245" w:lineRule="auto"/>
        <w:rPr>
          <w:rFonts w:ascii="Arial"/>
          <w:sz w:val="21"/>
          <w:highlight w:val="none"/>
        </w:rPr>
      </w:pPr>
    </w:p>
    <w:p w14:paraId="22367F1C">
      <w:pPr>
        <w:spacing w:line="245" w:lineRule="auto"/>
        <w:rPr>
          <w:rFonts w:ascii="Arial"/>
          <w:sz w:val="21"/>
          <w:highlight w:val="none"/>
        </w:rPr>
      </w:pPr>
    </w:p>
    <w:p w14:paraId="2B16653D">
      <w:pPr>
        <w:numPr>
          <w:ilvl w:val="0"/>
          <w:numId w:val="0"/>
        </w:numPr>
        <w:spacing w:before="101" w:line="226" w:lineRule="auto"/>
        <w:jc w:val="center"/>
        <w:outlineLvl w:val="1"/>
        <w:rPr>
          <w:rFonts w:ascii="黑体" w:hAnsi="黑体" w:eastAsia="黑体" w:cs="黑体"/>
          <w:b/>
          <w:bCs/>
          <w:spacing w:val="3"/>
          <w:sz w:val="31"/>
          <w:szCs w:val="31"/>
          <w:highlight w:val="none"/>
        </w:rPr>
      </w:pPr>
      <w:bookmarkStart w:id="89" w:name="_Toc5120"/>
      <w:r>
        <w:rPr>
          <w:rFonts w:hint="eastAsia" w:ascii="黑体" w:hAnsi="黑体" w:eastAsia="黑体" w:cs="黑体"/>
          <w:b/>
          <w:bCs/>
          <w:spacing w:val="3"/>
          <w:sz w:val="31"/>
          <w:szCs w:val="31"/>
          <w:highlight w:val="none"/>
          <w:lang w:val="en-US" w:eastAsia="zh-CN"/>
        </w:rPr>
        <w:t>12.</w:t>
      </w:r>
      <w:r>
        <w:rPr>
          <w:rFonts w:ascii="黑体" w:hAnsi="黑体" w:eastAsia="黑体" w:cs="黑体"/>
          <w:b/>
          <w:bCs/>
          <w:spacing w:val="3"/>
          <w:sz w:val="31"/>
          <w:szCs w:val="31"/>
          <w:highlight w:val="none"/>
        </w:rPr>
        <w:t>商务偏差表</w:t>
      </w:r>
      <w:bookmarkEnd w:id="89"/>
    </w:p>
    <w:p w14:paraId="1053A27B">
      <w:pPr>
        <w:pStyle w:val="8"/>
        <w:numPr>
          <w:ilvl w:val="0"/>
          <w:numId w:val="0"/>
        </w:numPr>
        <w:rPr>
          <w:highlight w:val="none"/>
        </w:rPr>
      </w:pPr>
    </w:p>
    <w:p w14:paraId="47002F96">
      <w:pPr>
        <w:spacing w:line="30" w:lineRule="exact"/>
        <w:rPr>
          <w:highlight w:val="none"/>
        </w:rPr>
      </w:pPr>
    </w:p>
    <w:tbl>
      <w:tblPr>
        <w:tblStyle w:val="23"/>
        <w:tblW w:w="9645" w:type="dxa"/>
        <w:tblInd w:w="113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5"/>
        <w:gridCol w:w="2382"/>
        <w:gridCol w:w="2593"/>
        <w:gridCol w:w="3955"/>
      </w:tblGrid>
      <w:tr w14:paraId="6F3013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8" w:hRule="atLeast"/>
        </w:trPr>
        <w:tc>
          <w:tcPr>
            <w:tcW w:w="715" w:type="dxa"/>
            <w:vAlign w:val="top"/>
          </w:tcPr>
          <w:p w14:paraId="43BA88E2">
            <w:pPr>
              <w:pStyle w:val="24"/>
              <w:spacing w:before="108" w:line="223" w:lineRule="auto"/>
              <w:ind w:left="213"/>
              <w:rPr>
                <w:highlight w:val="none"/>
              </w:rPr>
            </w:pPr>
            <w:r>
              <w:rPr>
                <w:spacing w:val="-2"/>
                <w:highlight w:val="none"/>
              </w:rPr>
              <w:t>序号</w:t>
            </w:r>
          </w:p>
        </w:tc>
        <w:tc>
          <w:tcPr>
            <w:tcW w:w="2382" w:type="dxa"/>
            <w:vAlign w:val="top"/>
          </w:tcPr>
          <w:p w14:paraId="6E6B6041">
            <w:pPr>
              <w:pStyle w:val="24"/>
              <w:spacing w:before="108" w:line="221" w:lineRule="auto"/>
              <w:ind w:left="215"/>
              <w:rPr>
                <w:highlight w:val="none"/>
              </w:rPr>
            </w:pPr>
            <w:r>
              <w:rPr>
                <w:spacing w:val="-4"/>
                <w:highlight w:val="none"/>
              </w:rPr>
              <w:t>招标文件章节及条款号</w:t>
            </w:r>
          </w:p>
        </w:tc>
        <w:tc>
          <w:tcPr>
            <w:tcW w:w="2593" w:type="dxa"/>
            <w:vAlign w:val="top"/>
          </w:tcPr>
          <w:p w14:paraId="4A62AFE1">
            <w:pPr>
              <w:pStyle w:val="24"/>
              <w:spacing w:before="108" w:line="221" w:lineRule="auto"/>
              <w:ind w:left="331"/>
              <w:rPr>
                <w:highlight w:val="none"/>
              </w:rPr>
            </w:pPr>
            <w:r>
              <w:rPr>
                <w:spacing w:val="-4"/>
                <w:highlight w:val="none"/>
              </w:rPr>
              <w:t>投标文件章节及条款号</w:t>
            </w:r>
          </w:p>
        </w:tc>
        <w:tc>
          <w:tcPr>
            <w:tcW w:w="3955" w:type="dxa"/>
            <w:vAlign w:val="top"/>
          </w:tcPr>
          <w:p w14:paraId="6A25433C">
            <w:pPr>
              <w:pStyle w:val="24"/>
              <w:spacing w:before="109" w:line="221" w:lineRule="auto"/>
              <w:ind w:left="1563"/>
              <w:rPr>
                <w:highlight w:val="none"/>
              </w:rPr>
            </w:pPr>
            <w:r>
              <w:rPr>
                <w:spacing w:val="-2"/>
                <w:highlight w:val="none"/>
              </w:rPr>
              <w:t>偏差说明</w:t>
            </w:r>
          </w:p>
        </w:tc>
      </w:tr>
      <w:tr w14:paraId="1CA53B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715" w:type="dxa"/>
            <w:vAlign w:val="top"/>
          </w:tcPr>
          <w:p w14:paraId="4DBF64BC">
            <w:pPr>
              <w:rPr>
                <w:rFonts w:ascii="Arial"/>
                <w:sz w:val="21"/>
                <w:highlight w:val="none"/>
              </w:rPr>
            </w:pPr>
          </w:p>
        </w:tc>
        <w:tc>
          <w:tcPr>
            <w:tcW w:w="2382" w:type="dxa"/>
            <w:vAlign w:val="top"/>
          </w:tcPr>
          <w:p w14:paraId="557D1489">
            <w:pPr>
              <w:rPr>
                <w:rFonts w:ascii="Arial"/>
                <w:sz w:val="21"/>
                <w:highlight w:val="none"/>
              </w:rPr>
            </w:pPr>
          </w:p>
        </w:tc>
        <w:tc>
          <w:tcPr>
            <w:tcW w:w="2593" w:type="dxa"/>
            <w:vAlign w:val="top"/>
          </w:tcPr>
          <w:p w14:paraId="68511D27">
            <w:pPr>
              <w:rPr>
                <w:rFonts w:ascii="Arial"/>
                <w:sz w:val="21"/>
                <w:highlight w:val="none"/>
              </w:rPr>
            </w:pPr>
          </w:p>
        </w:tc>
        <w:tc>
          <w:tcPr>
            <w:tcW w:w="3955" w:type="dxa"/>
            <w:vAlign w:val="top"/>
          </w:tcPr>
          <w:p w14:paraId="6F4A965F">
            <w:pPr>
              <w:rPr>
                <w:rFonts w:ascii="Arial"/>
                <w:sz w:val="21"/>
                <w:highlight w:val="none"/>
              </w:rPr>
            </w:pPr>
          </w:p>
        </w:tc>
      </w:tr>
      <w:tr w14:paraId="7116B8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715" w:type="dxa"/>
            <w:vAlign w:val="top"/>
          </w:tcPr>
          <w:p w14:paraId="0BE2D079">
            <w:pPr>
              <w:rPr>
                <w:rFonts w:ascii="Arial"/>
                <w:sz w:val="21"/>
                <w:highlight w:val="none"/>
              </w:rPr>
            </w:pPr>
          </w:p>
        </w:tc>
        <w:tc>
          <w:tcPr>
            <w:tcW w:w="2382" w:type="dxa"/>
            <w:vAlign w:val="top"/>
          </w:tcPr>
          <w:p w14:paraId="5953D033">
            <w:pPr>
              <w:rPr>
                <w:rFonts w:ascii="Arial"/>
                <w:sz w:val="21"/>
                <w:highlight w:val="none"/>
              </w:rPr>
            </w:pPr>
          </w:p>
        </w:tc>
        <w:tc>
          <w:tcPr>
            <w:tcW w:w="2593" w:type="dxa"/>
            <w:vAlign w:val="top"/>
          </w:tcPr>
          <w:p w14:paraId="6E78DE13">
            <w:pPr>
              <w:rPr>
                <w:rFonts w:ascii="Arial"/>
                <w:sz w:val="21"/>
                <w:highlight w:val="none"/>
              </w:rPr>
            </w:pPr>
          </w:p>
        </w:tc>
        <w:tc>
          <w:tcPr>
            <w:tcW w:w="3955" w:type="dxa"/>
            <w:vAlign w:val="top"/>
          </w:tcPr>
          <w:p w14:paraId="777D1704">
            <w:pPr>
              <w:rPr>
                <w:rFonts w:ascii="Arial"/>
                <w:sz w:val="21"/>
                <w:highlight w:val="none"/>
              </w:rPr>
            </w:pPr>
          </w:p>
        </w:tc>
      </w:tr>
      <w:tr w14:paraId="259CC1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15" w:type="dxa"/>
            <w:vAlign w:val="top"/>
          </w:tcPr>
          <w:p w14:paraId="42D66249">
            <w:pPr>
              <w:rPr>
                <w:rFonts w:ascii="Arial"/>
                <w:sz w:val="21"/>
                <w:highlight w:val="none"/>
              </w:rPr>
            </w:pPr>
          </w:p>
        </w:tc>
        <w:tc>
          <w:tcPr>
            <w:tcW w:w="2382" w:type="dxa"/>
            <w:vAlign w:val="top"/>
          </w:tcPr>
          <w:p w14:paraId="05E98179">
            <w:pPr>
              <w:rPr>
                <w:rFonts w:ascii="Arial"/>
                <w:sz w:val="21"/>
                <w:highlight w:val="none"/>
              </w:rPr>
            </w:pPr>
          </w:p>
        </w:tc>
        <w:tc>
          <w:tcPr>
            <w:tcW w:w="2593" w:type="dxa"/>
            <w:vAlign w:val="top"/>
          </w:tcPr>
          <w:p w14:paraId="2E80F24B">
            <w:pPr>
              <w:rPr>
                <w:rFonts w:ascii="Arial"/>
                <w:sz w:val="21"/>
                <w:highlight w:val="none"/>
              </w:rPr>
            </w:pPr>
          </w:p>
        </w:tc>
        <w:tc>
          <w:tcPr>
            <w:tcW w:w="3955" w:type="dxa"/>
            <w:vAlign w:val="top"/>
          </w:tcPr>
          <w:p w14:paraId="4257EA31">
            <w:pPr>
              <w:rPr>
                <w:rFonts w:ascii="Arial"/>
                <w:sz w:val="21"/>
                <w:highlight w:val="none"/>
              </w:rPr>
            </w:pPr>
          </w:p>
        </w:tc>
      </w:tr>
      <w:tr w14:paraId="449515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715" w:type="dxa"/>
            <w:vAlign w:val="top"/>
          </w:tcPr>
          <w:p w14:paraId="269B2D86">
            <w:pPr>
              <w:rPr>
                <w:rFonts w:ascii="Arial"/>
                <w:sz w:val="21"/>
                <w:highlight w:val="none"/>
              </w:rPr>
            </w:pPr>
          </w:p>
        </w:tc>
        <w:tc>
          <w:tcPr>
            <w:tcW w:w="2382" w:type="dxa"/>
            <w:vAlign w:val="top"/>
          </w:tcPr>
          <w:p w14:paraId="403842DB">
            <w:pPr>
              <w:rPr>
                <w:rFonts w:ascii="Arial"/>
                <w:sz w:val="21"/>
                <w:highlight w:val="none"/>
              </w:rPr>
            </w:pPr>
          </w:p>
        </w:tc>
        <w:tc>
          <w:tcPr>
            <w:tcW w:w="2593" w:type="dxa"/>
            <w:vAlign w:val="top"/>
          </w:tcPr>
          <w:p w14:paraId="487DF298">
            <w:pPr>
              <w:rPr>
                <w:rFonts w:ascii="Arial"/>
                <w:sz w:val="21"/>
                <w:highlight w:val="none"/>
              </w:rPr>
            </w:pPr>
          </w:p>
        </w:tc>
        <w:tc>
          <w:tcPr>
            <w:tcW w:w="3955" w:type="dxa"/>
            <w:vAlign w:val="top"/>
          </w:tcPr>
          <w:p w14:paraId="53C4EA0F">
            <w:pPr>
              <w:rPr>
                <w:rFonts w:ascii="Arial"/>
                <w:sz w:val="21"/>
                <w:highlight w:val="none"/>
              </w:rPr>
            </w:pPr>
          </w:p>
        </w:tc>
      </w:tr>
      <w:tr w14:paraId="020BE8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715" w:type="dxa"/>
            <w:vAlign w:val="top"/>
          </w:tcPr>
          <w:p w14:paraId="41DB8BEF">
            <w:pPr>
              <w:rPr>
                <w:rFonts w:ascii="Arial"/>
                <w:sz w:val="21"/>
                <w:highlight w:val="none"/>
              </w:rPr>
            </w:pPr>
          </w:p>
        </w:tc>
        <w:tc>
          <w:tcPr>
            <w:tcW w:w="2382" w:type="dxa"/>
            <w:vAlign w:val="top"/>
          </w:tcPr>
          <w:p w14:paraId="03F94D14">
            <w:pPr>
              <w:rPr>
                <w:rFonts w:ascii="Arial"/>
                <w:sz w:val="21"/>
                <w:highlight w:val="none"/>
              </w:rPr>
            </w:pPr>
          </w:p>
        </w:tc>
        <w:tc>
          <w:tcPr>
            <w:tcW w:w="2593" w:type="dxa"/>
            <w:vAlign w:val="top"/>
          </w:tcPr>
          <w:p w14:paraId="135770EA">
            <w:pPr>
              <w:rPr>
                <w:rFonts w:ascii="Arial"/>
                <w:sz w:val="21"/>
                <w:highlight w:val="none"/>
              </w:rPr>
            </w:pPr>
          </w:p>
        </w:tc>
        <w:tc>
          <w:tcPr>
            <w:tcW w:w="3955" w:type="dxa"/>
            <w:vAlign w:val="top"/>
          </w:tcPr>
          <w:p w14:paraId="3D5E55B6">
            <w:pPr>
              <w:rPr>
                <w:rFonts w:ascii="Arial"/>
                <w:sz w:val="21"/>
                <w:highlight w:val="none"/>
              </w:rPr>
            </w:pPr>
          </w:p>
        </w:tc>
      </w:tr>
    </w:tbl>
    <w:p w14:paraId="1D104933">
      <w:pPr>
        <w:pStyle w:val="8"/>
        <w:spacing w:before="29" w:line="360" w:lineRule="auto"/>
        <w:ind w:left="1812" w:right="1903" w:firstLine="418"/>
        <w:rPr>
          <w:sz w:val="21"/>
          <w:szCs w:val="21"/>
          <w:highlight w:val="none"/>
        </w:rPr>
      </w:pPr>
      <w:r>
        <w:rPr>
          <w:sz w:val="21"/>
          <w:szCs w:val="21"/>
          <w:highlight w:val="none"/>
        </w:rPr>
        <w:t>投标人保证：除商务偏差表列出的偏差外，投标人响应招标文件（除第</w:t>
      </w:r>
      <w:r>
        <w:rPr>
          <w:spacing w:val="-1"/>
          <w:sz w:val="21"/>
          <w:szCs w:val="21"/>
          <w:highlight w:val="none"/>
        </w:rPr>
        <w:t>六章供货要求</w:t>
      </w:r>
      <w:r>
        <w:rPr>
          <w:sz w:val="21"/>
          <w:szCs w:val="21"/>
          <w:highlight w:val="none"/>
        </w:rPr>
        <w:t xml:space="preserve"> </w:t>
      </w:r>
      <w:r>
        <w:rPr>
          <w:spacing w:val="-2"/>
          <w:sz w:val="21"/>
          <w:szCs w:val="21"/>
          <w:highlight w:val="none"/>
        </w:rPr>
        <w:t>外）的全部要求。</w:t>
      </w:r>
    </w:p>
    <w:p w14:paraId="30010E11">
      <w:pPr>
        <w:pStyle w:val="8"/>
        <w:spacing w:line="225" w:lineRule="auto"/>
        <w:ind w:left="2230"/>
        <w:rPr>
          <w:sz w:val="21"/>
          <w:szCs w:val="21"/>
          <w:highlight w:val="none"/>
        </w:rPr>
      </w:pPr>
      <w:r>
        <w:rPr>
          <w:b/>
          <w:bCs/>
          <w:spacing w:val="-16"/>
          <w:sz w:val="21"/>
          <w:szCs w:val="21"/>
          <w:highlight w:val="none"/>
        </w:rPr>
        <w:t>注：</w:t>
      </w:r>
    </w:p>
    <w:p w14:paraId="39D05E53">
      <w:pPr>
        <w:pStyle w:val="8"/>
        <w:spacing w:before="149" w:line="325" w:lineRule="auto"/>
        <w:ind w:left="1808" w:right="1922" w:firstLine="438"/>
        <w:rPr>
          <w:sz w:val="21"/>
          <w:szCs w:val="21"/>
          <w:highlight w:val="none"/>
        </w:rPr>
      </w:pPr>
      <w:r>
        <w:rPr>
          <w:b/>
          <w:bCs/>
          <w:spacing w:val="-2"/>
          <w:sz w:val="21"/>
          <w:szCs w:val="21"/>
          <w:highlight w:val="none"/>
        </w:rPr>
        <w:t>1、投标人要将投标文件和招标文件的差异之处汇集成表。投标文件对招标</w:t>
      </w:r>
      <w:r>
        <w:rPr>
          <w:b/>
          <w:bCs/>
          <w:spacing w:val="-3"/>
          <w:sz w:val="21"/>
          <w:szCs w:val="21"/>
          <w:highlight w:val="none"/>
        </w:rPr>
        <w:t>文件未提</w:t>
      </w:r>
      <w:r>
        <w:rPr>
          <w:sz w:val="21"/>
          <w:szCs w:val="21"/>
          <w:highlight w:val="none"/>
        </w:rPr>
        <w:t xml:space="preserve">  </w:t>
      </w:r>
      <w:r>
        <w:rPr>
          <w:b/>
          <w:bCs/>
          <w:spacing w:val="-3"/>
          <w:sz w:val="21"/>
          <w:szCs w:val="21"/>
          <w:highlight w:val="none"/>
        </w:rPr>
        <w:t>出异议的条款，均被视为接受和同意。投标文件与招标文件有差异之处，无论多么微小，</w:t>
      </w:r>
      <w:r>
        <w:rPr>
          <w:spacing w:val="8"/>
          <w:sz w:val="21"/>
          <w:szCs w:val="21"/>
          <w:highlight w:val="none"/>
        </w:rPr>
        <w:t xml:space="preserve"> </w:t>
      </w:r>
      <w:r>
        <w:rPr>
          <w:b/>
          <w:bCs/>
          <w:spacing w:val="-3"/>
          <w:sz w:val="21"/>
          <w:szCs w:val="21"/>
          <w:highlight w:val="none"/>
        </w:rPr>
        <w:t>均应按招标文件格式要求统一汇总说明，并标注：“正偏差”或“负偏差”。如无偏差，</w:t>
      </w:r>
      <w:r>
        <w:rPr>
          <w:spacing w:val="8"/>
          <w:sz w:val="21"/>
          <w:szCs w:val="21"/>
          <w:highlight w:val="none"/>
        </w:rPr>
        <w:t xml:space="preserve"> </w:t>
      </w:r>
      <w:r>
        <w:rPr>
          <w:b/>
          <w:bCs/>
          <w:spacing w:val="-6"/>
          <w:sz w:val="21"/>
          <w:szCs w:val="21"/>
          <w:highlight w:val="none"/>
        </w:rPr>
        <w:t>应标注：“无”。</w:t>
      </w:r>
    </w:p>
    <w:p w14:paraId="0B044694">
      <w:pPr>
        <w:pStyle w:val="8"/>
        <w:spacing w:before="158" w:line="290" w:lineRule="auto"/>
        <w:ind w:left="1813" w:right="1885" w:firstLine="524"/>
        <w:rPr>
          <w:sz w:val="21"/>
          <w:szCs w:val="21"/>
          <w:highlight w:val="none"/>
        </w:rPr>
      </w:pPr>
      <w:r>
        <w:rPr>
          <w:b/>
          <w:bCs/>
          <w:spacing w:val="-2"/>
          <w:sz w:val="21"/>
          <w:szCs w:val="21"/>
          <w:highlight w:val="none"/>
        </w:rPr>
        <w:t>2、对于投标人提出的上述差异，如存在重大偏离，导致招标人无法接受，则有可能</w:t>
      </w:r>
      <w:r>
        <w:rPr>
          <w:spacing w:val="1"/>
          <w:sz w:val="21"/>
          <w:szCs w:val="21"/>
          <w:highlight w:val="none"/>
        </w:rPr>
        <w:t xml:space="preserve"> </w:t>
      </w:r>
      <w:r>
        <w:rPr>
          <w:b/>
          <w:bCs/>
          <w:spacing w:val="-3"/>
          <w:sz w:val="21"/>
          <w:szCs w:val="21"/>
          <w:highlight w:val="none"/>
        </w:rPr>
        <w:t>导致其投标被否决。</w:t>
      </w:r>
    </w:p>
    <w:p w14:paraId="345DC7C2">
      <w:pPr>
        <w:spacing w:line="468" w:lineRule="auto"/>
        <w:rPr>
          <w:rFonts w:ascii="Arial"/>
          <w:sz w:val="21"/>
          <w:highlight w:val="none"/>
        </w:rPr>
      </w:pPr>
    </w:p>
    <w:p w14:paraId="3F073136">
      <w:pPr>
        <w:pStyle w:val="8"/>
        <w:spacing w:before="69" w:line="221" w:lineRule="auto"/>
        <w:ind w:left="6063"/>
        <w:rPr>
          <w:sz w:val="21"/>
          <w:szCs w:val="21"/>
          <w:highlight w:val="none"/>
        </w:rPr>
      </w:pPr>
      <w:r>
        <w:rPr>
          <w:spacing w:val="-6"/>
          <w:sz w:val="21"/>
          <w:szCs w:val="21"/>
          <w:highlight w:val="none"/>
        </w:rPr>
        <w:t>投标人：</w:t>
      </w:r>
      <w:r>
        <w:rPr>
          <w:spacing w:val="-6"/>
          <w:sz w:val="21"/>
          <w:szCs w:val="21"/>
          <w:highlight w:val="none"/>
          <w:u w:val="single" w:color="auto"/>
        </w:rPr>
        <w:t xml:space="preserve">               </w:t>
      </w:r>
      <w:r>
        <w:rPr>
          <w:spacing w:val="-61"/>
          <w:sz w:val="21"/>
          <w:szCs w:val="21"/>
          <w:highlight w:val="none"/>
        </w:rPr>
        <w:t xml:space="preserve"> </w:t>
      </w:r>
      <w:r>
        <w:rPr>
          <w:spacing w:val="-6"/>
          <w:sz w:val="21"/>
          <w:szCs w:val="21"/>
          <w:highlight w:val="none"/>
        </w:rPr>
        <w:t>(盖单位章)</w:t>
      </w:r>
    </w:p>
    <w:p w14:paraId="208EACE4">
      <w:pPr>
        <w:spacing w:line="325" w:lineRule="auto"/>
        <w:rPr>
          <w:rFonts w:ascii="Arial"/>
          <w:sz w:val="21"/>
          <w:highlight w:val="none"/>
        </w:rPr>
      </w:pPr>
    </w:p>
    <w:p w14:paraId="78573037">
      <w:pPr>
        <w:spacing w:line="326" w:lineRule="auto"/>
        <w:rPr>
          <w:rFonts w:ascii="Arial"/>
          <w:sz w:val="21"/>
          <w:highlight w:val="none"/>
        </w:rPr>
      </w:pPr>
    </w:p>
    <w:p w14:paraId="00D48B33">
      <w:pPr>
        <w:pStyle w:val="8"/>
        <w:tabs>
          <w:tab w:val="left" w:pos="7967"/>
        </w:tabs>
        <w:spacing w:before="69" w:line="221" w:lineRule="auto"/>
        <w:ind w:left="7464"/>
        <w:rPr>
          <w:sz w:val="21"/>
          <w:szCs w:val="21"/>
          <w:highlight w:val="none"/>
        </w:rPr>
        <w:sectPr>
          <w:footerReference r:id="rId13" w:type="default"/>
          <w:pgSz w:w="11900" w:h="16841"/>
          <w:pgMar w:top="400" w:right="0" w:bottom="1292" w:left="0" w:header="0" w:footer="1057" w:gutter="0"/>
          <w:pgNumType w:fmt="decimal"/>
          <w:cols w:space="720" w:num="1"/>
        </w:sectPr>
      </w:pPr>
      <w:r>
        <w:rPr>
          <w:sz w:val="21"/>
          <w:szCs w:val="21"/>
          <w:highlight w:val="none"/>
          <w:u w:val="single" w:color="auto"/>
        </w:rPr>
        <w:tab/>
      </w:r>
      <w:r>
        <w:rPr>
          <w:spacing w:val="-97"/>
          <w:sz w:val="21"/>
          <w:szCs w:val="21"/>
          <w:highlight w:val="none"/>
        </w:rPr>
        <w:t xml:space="preserve"> </w:t>
      </w:r>
      <w:r>
        <w:rPr>
          <w:spacing w:val="-7"/>
          <w:sz w:val="21"/>
          <w:szCs w:val="21"/>
          <w:highlight w:val="none"/>
        </w:rPr>
        <w:t>年</w:t>
      </w:r>
      <w:r>
        <w:rPr>
          <w:spacing w:val="28"/>
          <w:sz w:val="21"/>
          <w:szCs w:val="21"/>
          <w:highlight w:val="none"/>
          <w:u w:val="single" w:color="auto"/>
        </w:rPr>
        <w:t xml:space="preserve">   </w:t>
      </w:r>
      <w:r>
        <w:rPr>
          <w:spacing w:val="-92"/>
          <w:sz w:val="21"/>
          <w:szCs w:val="21"/>
          <w:highlight w:val="none"/>
        </w:rPr>
        <w:t xml:space="preserve"> </w:t>
      </w:r>
      <w:r>
        <w:rPr>
          <w:spacing w:val="-7"/>
          <w:sz w:val="21"/>
          <w:szCs w:val="21"/>
          <w:highlight w:val="none"/>
        </w:rPr>
        <w:t>月</w:t>
      </w:r>
      <w:r>
        <w:rPr>
          <w:spacing w:val="28"/>
          <w:sz w:val="21"/>
          <w:szCs w:val="21"/>
          <w:highlight w:val="none"/>
          <w:u w:val="single" w:color="auto"/>
        </w:rPr>
        <w:t xml:space="preserve">   </w:t>
      </w:r>
      <w:r>
        <w:rPr>
          <w:spacing w:val="-61"/>
          <w:sz w:val="21"/>
          <w:szCs w:val="21"/>
          <w:highlight w:val="none"/>
        </w:rPr>
        <w:t xml:space="preserve"> </w:t>
      </w:r>
    </w:p>
    <w:p w14:paraId="3B065F9C">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360" w:lineRule="auto"/>
        <w:jc w:val="both"/>
        <w:textAlignment w:val="auto"/>
        <w:rPr>
          <w:rFonts w:hint="eastAsia" w:ascii="仿宋" w:hAnsi="仿宋" w:eastAsia="仿宋" w:cs="仿宋"/>
          <w:b/>
          <w:bCs/>
          <w:sz w:val="30"/>
          <w:szCs w:val="30"/>
          <w:highlight w:val="none"/>
          <w:lang w:val="en-US" w:eastAsia="zh-CN"/>
        </w:rPr>
      </w:pPr>
    </w:p>
    <w:p w14:paraId="48644A74">
      <w:pPr>
        <w:spacing w:line="240" w:lineRule="auto"/>
        <w:ind w:left="0"/>
        <w:jc w:val="center"/>
        <w:rPr>
          <w:rFonts w:hint="eastAsia" w:ascii="黑体" w:hAnsi="黑体" w:eastAsia="黑体" w:cs="黑体"/>
          <w:spacing w:val="-3"/>
          <w:sz w:val="28"/>
          <w:szCs w:val="28"/>
          <w:highlight w:val="none"/>
          <w:lang w:val="en-US" w:eastAsia="zh-CN"/>
        </w:rPr>
      </w:pPr>
    </w:p>
    <w:p w14:paraId="035729CC">
      <w:pPr>
        <w:spacing w:line="240" w:lineRule="auto"/>
        <w:ind w:left="0"/>
        <w:jc w:val="center"/>
        <w:rPr>
          <w:rFonts w:hint="eastAsia" w:ascii="黑体" w:hAnsi="黑体" w:eastAsia="黑体" w:cs="黑体"/>
          <w:spacing w:val="-3"/>
          <w:sz w:val="28"/>
          <w:szCs w:val="28"/>
          <w:highlight w:val="none"/>
          <w:lang w:val="en-US" w:eastAsia="zh-CN"/>
        </w:rPr>
      </w:pPr>
    </w:p>
    <w:p w14:paraId="153EE43B">
      <w:pPr>
        <w:spacing w:line="240" w:lineRule="auto"/>
        <w:ind w:left="0"/>
        <w:jc w:val="center"/>
        <w:rPr>
          <w:rFonts w:ascii="黑体" w:hAnsi="黑体" w:eastAsia="黑体" w:cs="黑体"/>
          <w:sz w:val="28"/>
          <w:szCs w:val="28"/>
          <w:highlight w:val="none"/>
        </w:rPr>
      </w:pPr>
      <w:r>
        <w:rPr>
          <w:rFonts w:hint="eastAsia" w:ascii="黑体" w:hAnsi="黑体" w:eastAsia="黑体" w:cs="黑体"/>
          <w:spacing w:val="-3"/>
          <w:sz w:val="28"/>
          <w:szCs w:val="28"/>
          <w:highlight w:val="none"/>
          <w:lang w:val="en-US" w:eastAsia="zh-CN"/>
        </w:rPr>
        <w:t>13.</w:t>
      </w:r>
      <w:r>
        <w:rPr>
          <w:rFonts w:ascii="黑体" w:hAnsi="黑体" w:eastAsia="黑体" w:cs="黑体"/>
          <w:spacing w:val="-3"/>
          <w:sz w:val="28"/>
          <w:szCs w:val="28"/>
          <w:highlight w:val="none"/>
        </w:rPr>
        <w:t>技术偏差表</w:t>
      </w:r>
    </w:p>
    <w:tbl>
      <w:tblPr>
        <w:tblStyle w:val="23"/>
        <w:tblpPr w:leftFromText="180" w:rightFromText="180" w:vertAnchor="text" w:horzAnchor="page" w:tblpX="2028" w:tblpY="637"/>
        <w:tblOverlap w:val="never"/>
        <w:tblW w:w="822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1"/>
        <w:gridCol w:w="2691"/>
        <w:gridCol w:w="2976"/>
        <w:gridCol w:w="1629"/>
      </w:tblGrid>
      <w:tr w14:paraId="3985E2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7" w:hRule="atLeast"/>
        </w:trPr>
        <w:tc>
          <w:tcPr>
            <w:tcW w:w="931" w:type="dxa"/>
            <w:vAlign w:val="top"/>
          </w:tcPr>
          <w:p w14:paraId="6E061EE7">
            <w:pPr>
              <w:pStyle w:val="24"/>
              <w:spacing w:before="240" w:line="223" w:lineRule="auto"/>
              <w:ind w:left="261"/>
              <w:rPr>
                <w:highlight w:val="none"/>
              </w:rPr>
            </w:pPr>
            <w:r>
              <w:rPr>
                <w:b/>
                <w:bCs/>
                <w:spacing w:val="-4"/>
                <w:highlight w:val="none"/>
              </w:rPr>
              <w:t>序号</w:t>
            </w:r>
          </w:p>
        </w:tc>
        <w:tc>
          <w:tcPr>
            <w:tcW w:w="2691" w:type="dxa"/>
            <w:vAlign w:val="top"/>
          </w:tcPr>
          <w:p w14:paraId="07BFA5C0">
            <w:pPr>
              <w:pStyle w:val="24"/>
              <w:spacing w:before="34" w:line="221" w:lineRule="auto"/>
              <w:ind w:left="928"/>
              <w:rPr>
                <w:highlight w:val="none"/>
              </w:rPr>
            </w:pPr>
            <w:r>
              <w:rPr>
                <w:b/>
                <w:bCs/>
                <w:spacing w:val="-4"/>
                <w:highlight w:val="none"/>
              </w:rPr>
              <w:t>招标文件</w:t>
            </w:r>
          </w:p>
          <w:p w14:paraId="4FE2719F">
            <w:pPr>
              <w:pStyle w:val="24"/>
              <w:spacing w:before="158" w:line="221" w:lineRule="auto"/>
              <w:ind w:left="248"/>
              <w:rPr>
                <w:highlight w:val="none"/>
              </w:rPr>
            </w:pPr>
            <w:r>
              <w:rPr>
                <w:b/>
                <w:bCs/>
                <w:spacing w:val="-3"/>
                <w:highlight w:val="none"/>
              </w:rPr>
              <w:t>章节及条款号/简要内容</w:t>
            </w:r>
          </w:p>
        </w:tc>
        <w:tc>
          <w:tcPr>
            <w:tcW w:w="2976" w:type="dxa"/>
            <w:vAlign w:val="top"/>
          </w:tcPr>
          <w:p w14:paraId="003D1EF8">
            <w:pPr>
              <w:pStyle w:val="24"/>
              <w:spacing w:before="34" w:line="221" w:lineRule="auto"/>
              <w:ind w:left="1075"/>
              <w:rPr>
                <w:highlight w:val="none"/>
              </w:rPr>
            </w:pPr>
            <w:r>
              <w:rPr>
                <w:b/>
                <w:bCs/>
                <w:spacing w:val="-4"/>
                <w:highlight w:val="none"/>
              </w:rPr>
              <w:t>投标文件</w:t>
            </w:r>
          </w:p>
          <w:p w14:paraId="00BBBBF7">
            <w:pPr>
              <w:pStyle w:val="24"/>
              <w:spacing w:before="158" w:line="221" w:lineRule="auto"/>
              <w:ind w:left="394"/>
              <w:rPr>
                <w:highlight w:val="none"/>
              </w:rPr>
            </w:pPr>
            <w:r>
              <w:rPr>
                <w:b/>
                <w:bCs/>
                <w:spacing w:val="-3"/>
                <w:highlight w:val="none"/>
              </w:rPr>
              <w:t>章节及条款号/简要内容</w:t>
            </w:r>
          </w:p>
        </w:tc>
        <w:tc>
          <w:tcPr>
            <w:tcW w:w="1629" w:type="dxa"/>
            <w:vAlign w:val="top"/>
          </w:tcPr>
          <w:p w14:paraId="3C7839C6">
            <w:pPr>
              <w:pStyle w:val="24"/>
              <w:spacing w:before="241" w:line="221" w:lineRule="auto"/>
              <w:ind w:left="398"/>
              <w:rPr>
                <w:highlight w:val="none"/>
              </w:rPr>
            </w:pPr>
            <w:r>
              <w:rPr>
                <w:b/>
                <w:bCs/>
                <w:spacing w:val="-3"/>
                <w:highlight w:val="none"/>
              </w:rPr>
              <w:t>偏差说明</w:t>
            </w:r>
          </w:p>
        </w:tc>
      </w:tr>
      <w:tr w14:paraId="33517B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931" w:type="dxa"/>
            <w:vAlign w:val="top"/>
          </w:tcPr>
          <w:p w14:paraId="4B085F2C">
            <w:pPr>
              <w:pStyle w:val="24"/>
              <w:spacing w:before="49" w:line="276" w:lineRule="exact"/>
              <w:ind w:left="436"/>
              <w:rPr>
                <w:highlight w:val="none"/>
              </w:rPr>
            </w:pPr>
            <w:r>
              <w:rPr>
                <w:position w:val="1"/>
                <w:highlight w:val="none"/>
              </w:rPr>
              <w:t>1</w:t>
            </w:r>
          </w:p>
        </w:tc>
        <w:tc>
          <w:tcPr>
            <w:tcW w:w="2691" w:type="dxa"/>
            <w:vAlign w:val="top"/>
          </w:tcPr>
          <w:p w14:paraId="1089A25D">
            <w:pPr>
              <w:rPr>
                <w:rFonts w:ascii="Arial"/>
                <w:sz w:val="21"/>
                <w:highlight w:val="none"/>
              </w:rPr>
            </w:pPr>
          </w:p>
        </w:tc>
        <w:tc>
          <w:tcPr>
            <w:tcW w:w="2976" w:type="dxa"/>
            <w:vAlign w:val="top"/>
          </w:tcPr>
          <w:p w14:paraId="466CD0A4">
            <w:pPr>
              <w:rPr>
                <w:rFonts w:ascii="Arial"/>
                <w:sz w:val="21"/>
                <w:highlight w:val="none"/>
              </w:rPr>
            </w:pPr>
          </w:p>
        </w:tc>
        <w:tc>
          <w:tcPr>
            <w:tcW w:w="1629" w:type="dxa"/>
            <w:vAlign w:val="top"/>
          </w:tcPr>
          <w:p w14:paraId="756971BD">
            <w:pPr>
              <w:rPr>
                <w:rFonts w:ascii="Arial"/>
                <w:sz w:val="21"/>
                <w:highlight w:val="none"/>
              </w:rPr>
            </w:pPr>
          </w:p>
        </w:tc>
      </w:tr>
      <w:tr w14:paraId="233719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931" w:type="dxa"/>
            <w:vAlign w:val="top"/>
          </w:tcPr>
          <w:p w14:paraId="6EB1A48B">
            <w:pPr>
              <w:pStyle w:val="24"/>
              <w:spacing w:before="48" w:line="276" w:lineRule="exact"/>
              <w:ind w:left="423"/>
              <w:rPr>
                <w:highlight w:val="none"/>
              </w:rPr>
            </w:pPr>
            <w:r>
              <w:rPr>
                <w:position w:val="1"/>
                <w:highlight w:val="none"/>
              </w:rPr>
              <w:t>2</w:t>
            </w:r>
          </w:p>
        </w:tc>
        <w:tc>
          <w:tcPr>
            <w:tcW w:w="2691" w:type="dxa"/>
            <w:vAlign w:val="top"/>
          </w:tcPr>
          <w:p w14:paraId="30AF0211">
            <w:pPr>
              <w:rPr>
                <w:rFonts w:ascii="Arial"/>
                <w:sz w:val="21"/>
                <w:highlight w:val="none"/>
              </w:rPr>
            </w:pPr>
          </w:p>
        </w:tc>
        <w:tc>
          <w:tcPr>
            <w:tcW w:w="2976" w:type="dxa"/>
            <w:vAlign w:val="top"/>
          </w:tcPr>
          <w:p w14:paraId="32833A66">
            <w:pPr>
              <w:rPr>
                <w:rFonts w:ascii="Arial"/>
                <w:sz w:val="21"/>
                <w:highlight w:val="none"/>
              </w:rPr>
            </w:pPr>
          </w:p>
        </w:tc>
        <w:tc>
          <w:tcPr>
            <w:tcW w:w="1629" w:type="dxa"/>
            <w:vAlign w:val="top"/>
          </w:tcPr>
          <w:p w14:paraId="7427731C">
            <w:pPr>
              <w:rPr>
                <w:rFonts w:ascii="Arial"/>
                <w:sz w:val="21"/>
                <w:highlight w:val="none"/>
              </w:rPr>
            </w:pPr>
          </w:p>
        </w:tc>
      </w:tr>
      <w:tr w14:paraId="12A5E1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931" w:type="dxa"/>
            <w:vAlign w:val="top"/>
          </w:tcPr>
          <w:p w14:paraId="4A8F0CC4">
            <w:pPr>
              <w:pStyle w:val="24"/>
              <w:spacing w:before="48" w:line="242" w:lineRule="auto"/>
              <w:ind w:left="425"/>
              <w:rPr>
                <w:highlight w:val="none"/>
              </w:rPr>
            </w:pPr>
            <w:r>
              <w:rPr>
                <w:highlight w:val="none"/>
              </w:rPr>
              <w:t>3</w:t>
            </w:r>
          </w:p>
        </w:tc>
        <w:tc>
          <w:tcPr>
            <w:tcW w:w="2691" w:type="dxa"/>
            <w:vAlign w:val="top"/>
          </w:tcPr>
          <w:p w14:paraId="768B4078">
            <w:pPr>
              <w:rPr>
                <w:rFonts w:ascii="Arial"/>
                <w:sz w:val="21"/>
                <w:highlight w:val="none"/>
              </w:rPr>
            </w:pPr>
          </w:p>
        </w:tc>
        <w:tc>
          <w:tcPr>
            <w:tcW w:w="2976" w:type="dxa"/>
            <w:vAlign w:val="top"/>
          </w:tcPr>
          <w:p w14:paraId="186B064A">
            <w:pPr>
              <w:rPr>
                <w:rFonts w:ascii="Arial"/>
                <w:sz w:val="21"/>
                <w:highlight w:val="none"/>
              </w:rPr>
            </w:pPr>
          </w:p>
        </w:tc>
        <w:tc>
          <w:tcPr>
            <w:tcW w:w="1629" w:type="dxa"/>
            <w:vAlign w:val="top"/>
          </w:tcPr>
          <w:p w14:paraId="5C44F809">
            <w:pPr>
              <w:rPr>
                <w:rFonts w:ascii="Arial"/>
                <w:sz w:val="21"/>
                <w:highlight w:val="none"/>
              </w:rPr>
            </w:pPr>
          </w:p>
        </w:tc>
      </w:tr>
      <w:tr w14:paraId="5765BF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931" w:type="dxa"/>
            <w:vAlign w:val="top"/>
          </w:tcPr>
          <w:p w14:paraId="7BA04930">
            <w:pPr>
              <w:pStyle w:val="24"/>
              <w:spacing w:before="52" w:line="276" w:lineRule="exact"/>
              <w:ind w:left="419"/>
              <w:rPr>
                <w:highlight w:val="none"/>
              </w:rPr>
            </w:pPr>
            <w:r>
              <w:rPr>
                <w:position w:val="1"/>
                <w:highlight w:val="none"/>
              </w:rPr>
              <w:t>4</w:t>
            </w:r>
          </w:p>
        </w:tc>
        <w:tc>
          <w:tcPr>
            <w:tcW w:w="2691" w:type="dxa"/>
            <w:vAlign w:val="top"/>
          </w:tcPr>
          <w:p w14:paraId="5DD1E209">
            <w:pPr>
              <w:rPr>
                <w:rFonts w:ascii="Arial"/>
                <w:sz w:val="21"/>
                <w:highlight w:val="none"/>
              </w:rPr>
            </w:pPr>
          </w:p>
        </w:tc>
        <w:tc>
          <w:tcPr>
            <w:tcW w:w="2976" w:type="dxa"/>
            <w:vAlign w:val="top"/>
          </w:tcPr>
          <w:p w14:paraId="2A728D3F">
            <w:pPr>
              <w:rPr>
                <w:rFonts w:ascii="Arial"/>
                <w:sz w:val="21"/>
                <w:highlight w:val="none"/>
              </w:rPr>
            </w:pPr>
          </w:p>
        </w:tc>
        <w:tc>
          <w:tcPr>
            <w:tcW w:w="1629" w:type="dxa"/>
            <w:vAlign w:val="top"/>
          </w:tcPr>
          <w:p w14:paraId="3A375E97">
            <w:pPr>
              <w:rPr>
                <w:rFonts w:ascii="Arial"/>
                <w:sz w:val="21"/>
                <w:highlight w:val="none"/>
              </w:rPr>
            </w:pPr>
          </w:p>
        </w:tc>
      </w:tr>
      <w:tr w14:paraId="0B44F1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931" w:type="dxa"/>
            <w:vAlign w:val="top"/>
          </w:tcPr>
          <w:p w14:paraId="544E2CAA">
            <w:pPr>
              <w:pStyle w:val="24"/>
              <w:spacing w:before="50" w:line="242" w:lineRule="auto"/>
              <w:ind w:left="425"/>
              <w:rPr>
                <w:highlight w:val="none"/>
              </w:rPr>
            </w:pPr>
            <w:r>
              <w:rPr>
                <w:highlight w:val="none"/>
              </w:rPr>
              <w:t>5</w:t>
            </w:r>
          </w:p>
        </w:tc>
        <w:tc>
          <w:tcPr>
            <w:tcW w:w="2691" w:type="dxa"/>
            <w:vAlign w:val="top"/>
          </w:tcPr>
          <w:p w14:paraId="2D5F9CC4">
            <w:pPr>
              <w:rPr>
                <w:rFonts w:ascii="Arial"/>
                <w:sz w:val="21"/>
                <w:highlight w:val="none"/>
              </w:rPr>
            </w:pPr>
          </w:p>
        </w:tc>
        <w:tc>
          <w:tcPr>
            <w:tcW w:w="2976" w:type="dxa"/>
            <w:vAlign w:val="top"/>
          </w:tcPr>
          <w:p w14:paraId="52B05D5E">
            <w:pPr>
              <w:rPr>
                <w:rFonts w:ascii="Arial"/>
                <w:sz w:val="21"/>
                <w:highlight w:val="none"/>
              </w:rPr>
            </w:pPr>
          </w:p>
        </w:tc>
        <w:tc>
          <w:tcPr>
            <w:tcW w:w="1629" w:type="dxa"/>
            <w:vAlign w:val="top"/>
          </w:tcPr>
          <w:p w14:paraId="37C20A24">
            <w:pPr>
              <w:rPr>
                <w:rFonts w:ascii="Arial"/>
                <w:sz w:val="21"/>
                <w:highlight w:val="none"/>
              </w:rPr>
            </w:pPr>
          </w:p>
        </w:tc>
      </w:tr>
      <w:tr w14:paraId="11E023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7" w:hRule="atLeast"/>
        </w:trPr>
        <w:tc>
          <w:tcPr>
            <w:tcW w:w="931" w:type="dxa"/>
            <w:vAlign w:val="top"/>
          </w:tcPr>
          <w:p w14:paraId="4BAB0F3A">
            <w:pPr>
              <w:pStyle w:val="24"/>
              <w:spacing w:before="34" w:line="339" w:lineRule="exact"/>
              <w:ind w:left="393"/>
              <w:rPr>
                <w:sz w:val="22"/>
                <w:szCs w:val="22"/>
                <w:highlight w:val="none"/>
              </w:rPr>
            </w:pPr>
            <w:r>
              <w:rPr>
                <w:i/>
                <w:iCs/>
                <w:spacing w:val="10"/>
                <w:position w:val="2"/>
                <w:sz w:val="22"/>
                <w:szCs w:val="22"/>
                <w:highlight w:val="none"/>
              </w:rPr>
              <w:t>…</w:t>
            </w:r>
          </w:p>
          <w:p w14:paraId="6562266E">
            <w:pPr>
              <w:pStyle w:val="24"/>
              <w:spacing w:before="71" w:line="339" w:lineRule="exact"/>
              <w:ind w:left="393"/>
              <w:rPr>
                <w:sz w:val="22"/>
                <w:szCs w:val="22"/>
                <w:highlight w:val="none"/>
              </w:rPr>
            </w:pPr>
            <w:r>
              <w:rPr>
                <w:i/>
                <w:iCs/>
                <w:spacing w:val="10"/>
                <w:position w:val="2"/>
                <w:sz w:val="22"/>
                <w:szCs w:val="22"/>
                <w:highlight w:val="none"/>
              </w:rPr>
              <w:t>…</w:t>
            </w:r>
          </w:p>
        </w:tc>
        <w:tc>
          <w:tcPr>
            <w:tcW w:w="2691" w:type="dxa"/>
            <w:vAlign w:val="top"/>
          </w:tcPr>
          <w:p w14:paraId="3AF6DCF7">
            <w:pPr>
              <w:rPr>
                <w:rFonts w:ascii="Arial"/>
                <w:sz w:val="21"/>
                <w:highlight w:val="none"/>
              </w:rPr>
            </w:pPr>
          </w:p>
        </w:tc>
        <w:tc>
          <w:tcPr>
            <w:tcW w:w="2976" w:type="dxa"/>
            <w:vAlign w:val="top"/>
          </w:tcPr>
          <w:p w14:paraId="653638C9">
            <w:pPr>
              <w:rPr>
                <w:rFonts w:ascii="Arial"/>
                <w:sz w:val="21"/>
                <w:highlight w:val="none"/>
              </w:rPr>
            </w:pPr>
          </w:p>
        </w:tc>
        <w:tc>
          <w:tcPr>
            <w:tcW w:w="1629" w:type="dxa"/>
            <w:vAlign w:val="top"/>
          </w:tcPr>
          <w:p w14:paraId="7B957C40">
            <w:pPr>
              <w:rPr>
                <w:rFonts w:ascii="Arial"/>
                <w:sz w:val="21"/>
                <w:highlight w:val="none"/>
              </w:rPr>
            </w:pPr>
          </w:p>
        </w:tc>
      </w:tr>
    </w:tbl>
    <w:p w14:paraId="6F4DC7B9">
      <w:pPr>
        <w:spacing w:line="366" w:lineRule="auto"/>
        <w:rPr>
          <w:rFonts w:ascii="Arial"/>
          <w:sz w:val="21"/>
          <w:highlight w:val="none"/>
        </w:rPr>
      </w:pPr>
    </w:p>
    <w:p w14:paraId="1D00B318">
      <w:pPr>
        <w:pStyle w:val="8"/>
        <w:spacing w:line="240" w:lineRule="auto"/>
        <w:ind w:left="0" w:right="0" w:firstLine="416" w:firstLineChars="200"/>
        <w:rPr>
          <w:rFonts w:hint="eastAsia"/>
          <w:spacing w:val="-1"/>
          <w:sz w:val="21"/>
          <w:szCs w:val="21"/>
          <w:highlight w:val="none"/>
          <w:lang w:val="en-US" w:eastAsia="zh-CN"/>
        </w:rPr>
      </w:pPr>
      <w:r>
        <w:rPr>
          <w:rFonts w:hint="eastAsia"/>
          <w:spacing w:val="-1"/>
          <w:sz w:val="21"/>
          <w:szCs w:val="21"/>
          <w:highlight w:val="none"/>
          <w:lang w:val="en-US" w:eastAsia="zh-CN"/>
        </w:rPr>
        <w:t xml:space="preserve">                                        </w:t>
      </w:r>
    </w:p>
    <w:p w14:paraId="7F6C26E4">
      <w:pPr>
        <w:pStyle w:val="8"/>
        <w:spacing w:line="240" w:lineRule="auto"/>
        <w:ind w:left="0" w:right="0" w:firstLine="416" w:firstLineChars="200"/>
        <w:rPr>
          <w:rFonts w:hint="eastAsia"/>
          <w:spacing w:val="-1"/>
          <w:sz w:val="21"/>
          <w:szCs w:val="21"/>
          <w:highlight w:val="none"/>
          <w:lang w:val="en-US" w:eastAsia="zh-CN"/>
        </w:rPr>
      </w:pPr>
    </w:p>
    <w:p w14:paraId="65D74309">
      <w:pPr>
        <w:pStyle w:val="8"/>
        <w:spacing w:line="240" w:lineRule="auto"/>
        <w:ind w:left="0" w:right="0" w:firstLine="416" w:firstLineChars="200"/>
        <w:jc w:val="left"/>
        <w:rPr>
          <w:sz w:val="21"/>
          <w:szCs w:val="21"/>
          <w:highlight w:val="none"/>
        </w:rPr>
      </w:pPr>
      <w:r>
        <w:rPr>
          <w:spacing w:val="-1"/>
          <w:sz w:val="21"/>
          <w:szCs w:val="21"/>
          <w:highlight w:val="none"/>
        </w:rPr>
        <w:t>投标人保证：除技术偏差表列出的偏差外，投标人响应招标文件</w:t>
      </w:r>
      <w:r>
        <w:rPr>
          <w:spacing w:val="16"/>
          <w:sz w:val="21"/>
          <w:szCs w:val="21"/>
          <w:highlight w:val="none"/>
        </w:rPr>
        <w:t xml:space="preserve"> </w:t>
      </w:r>
      <w:r>
        <w:rPr>
          <w:spacing w:val="-4"/>
          <w:sz w:val="21"/>
          <w:szCs w:val="21"/>
          <w:highlight w:val="none"/>
        </w:rPr>
        <w:t>的全部要求。</w:t>
      </w:r>
    </w:p>
    <w:p w14:paraId="1AFAF83C">
      <w:pPr>
        <w:pStyle w:val="8"/>
        <w:spacing w:line="240" w:lineRule="auto"/>
        <w:ind w:left="0" w:right="0" w:firstLine="0"/>
        <w:jc w:val="left"/>
        <w:rPr>
          <w:sz w:val="21"/>
          <w:szCs w:val="21"/>
          <w:highlight w:val="none"/>
        </w:rPr>
      </w:pPr>
      <w:r>
        <w:rPr>
          <w:b/>
          <w:bCs/>
          <w:spacing w:val="-16"/>
          <w:sz w:val="21"/>
          <w:szCs w:val="21"/>
          <w:highlight w:val="none"/>
        </w:rPr>
        <w:t>注：</w:t>
      </w:r>
    </w:p>
    <w:p w14:paraId="1744AA9A">
      <w:pPr>
        <w:pStyle w:val="8"/>
        <w:spacing w:line="240" w:lineRule="auto"/>
        <w:ind w:left="0" w:right="0" w:firstLine="0"/>
        <w:jc w:val="left"/>
        <w:rPr>
          <w:sz w:val="21"/>
          <w:szCs w:val="21"/>
          <w:highlight w:val="none"/>
        </w:rPr>
      </w:pPr>
      <w:r>
        <w:rPr>
          <w:b/>
          <w:bCs/>
          <w:spacing w:val="-2"/>
          <w:sz w:val="21"/>
          <w:szCs w:val="21"/>
          <w:highlight w:val="none"/>
        </w:rPr>
        <w:t>1、投标人要将投标文件和招标文件的差异之处汇集成表。投标文件对招标</w:t>
      </w:r>
      <w:r>
        <w:rPr>
          <w:b/>
          <w:bCs/>
          <w:spacing w:val="-3"/>
          <w:sz w:val="21"/>
          <w:szCs w:val="21"/>
          <w:highlight w:val="none"/>
        </w:rPr>
        <w:t>文件未提</w:t>
      </w:r>
      <w:r>
        <w:rPr>
          <w:sz w:val="21"/>
          <w:szCs w:val="21"/>
          <w:highlight w:val="none"/>
        </w:rPr>
        <w:t xml:space="preserve">  </w:t>
      </w:r>
      <w:r>
        <w:rPr>
          <w:b/>
          <w:bCs/>
          <w:spacing w:val="-3"/>
          <w:sz w:val="21"/>
          <w:szCs w:val="21"/>
          <w:highlight w:val="none"/>
        </w:rPr>
        <w:t>出异议的条款，均被视为接受和同意。投标文件与招标文件有差异之处，无论多么微小，</w:t>
      </w:r>
      <w:r>
        <w:rPr>
          <w:spacing w:val="8"/>
          <w:sz w:val="21"/>
          <w:szCs w:val="21"/>
          <w:highlight w:val="none"/>
        </w:rPr>
        <w:t xml:space="preserve"> </w:t>
      </w:r>
      <w:r>
        <w:rPr>
          <w:b/>
          <w:bCs/>
          <w:spacing w:val="-3"/>
          <w:sz w:val="21"/>
          <w:szCs w:val="21"/>
          <w:highlight w:val="none"/>
        </w:rPr>
        <w:t>均应按招标文件格式要求统一汇总说明，并标注：“正偏差”或“负偏差”。如无偏差，</w:t>
      </w:r>
      <w:r>
        <w:rPr>
          <w:spacing w:val="8"/>
          <w:sz w:val="21"/>
          <w:szCs w:val="21"/>
          <w:highlight w:val="none"/>
        </w:rPr>
        <w:t xml:space="preserve"> </w:t>
      </w:r>
      <w:r>
        <w:rPr>
          <w:b/>
          <w:bCs/>
          <w:spacing w:val="-6"/>
          <w:sz w:val="21"/>
          <w:szCs w:val="21"/>
          <w:highlight w:val="none"/>
        </w:rPr>
        <w:t>应标注：“无”。</w:t>
      </w:r>
    </w:p>
    <w:p w14:paraId="12810F1F">
      <w:pPr>
        <w:spacing w:line="240" w:lineRule="auto"/>
        <w:ind w:left="0" w:right="0" w:firstLine="0"/>
        <w:jc w:val="left"/>
        <w:outlineLvl w:val="1"/>
        <w:rPr>
          <w:rFonts w:ascii="黑体" w:hAnsi="黑体" w:eastAsia="黑体" w:cs="黑体"/>
          <w:sz w:val="31"/>
          <w:szCs w:val="31"/>
          <w:highlight w:val="none"/>
        </w:rPr>
      </w:pPr>
      <w:bookmarkStart w:id="90" w:name="_Toc27038"/>
      <w:r>
        <w:rPr>
          <w:b/>
          <w:bCs/>
          <w:spacing w:val="-2"/>
          <w:sz w:val="21"/>
          <w:szCs w:val="21"/>
          <w:highlight w:val="none"/>
        </w:rPr>
        <w:t>2、对于投标人提出的上述差异，有可能</w:t>
      </w:r>
      <w:r>
        <w:rPr>
          <w:spacing w:val="1"/>
          <w:sz w:val="21"/>
          <w:szCs w:val="21"/>
          <w:highlight w:val="none"/>
        </w:rPr>
        <w:t xml:space="preserve"> </w:t>
      </w:r>
      <w:r>
        <w:rPr>
          <w:b/>
          <w:bCs/>
          <w:spacing w:val="-6"/>
          <w:sz w:val="21"/>
          <w:szCs w:val="21"/>
          <w:highlight w:val="none"/>
        </w:rPr>
        <w:t>导致其投标被否决。</w:t>
      </w:r>
      <w:bookmarkEnd w:id="90"/>
    </w:p>
    <w:bookmarkEnd w:id="2"/>
    <w:p w14:paraId="510D0FBA">
      <w:pPr>
        <w:spacing w:line="470" w:lineRule="auto"/>
        <w:jc w:val="left"/>
        <w:rPr>
          <w:rFonts w:ascii="Arial"/>
          <w:sz w:val="21"/>
          <w:highlight w:val="none"/>
        </w:rPr>
      </w:pPr>
    </w:p>
    <w:p w14:paraId="4E2CB0D3">
      <w:pPr>
        <w:spacing w:line="354" w:lineRule="auto"/>
        <w:rPr>
          <w:rFonts w:ascii="Arial"/>
          <w:sz w:val="21"/>
          <w:highlight w:val="none"/>
        </w:rPr>
      </w:pPr>
      <w:bookmarkStart w:id="91" w:name="bookmark180"/>
      <w:bookmarkEnd w:id="91"/>
    </w:p>
    <w:p w14:paraId="62239960">
      <w:pPr>
        <w:spacing w:line="246" w:lineRule="auto"/>
        <w:rPr>
          <w:rFonts w:ascii="Arial"/>
          <w:sz w:val="21"/>
          <w:highlight w:val="none"/>
        </w:rPr>
      </w:pPr>
      <w:bookmarkStart w:id="92" w:name="bookmark155"/>
      <w:bookmarkEnd w:id="92"/>
    </w:p>
    <w:p w14:paraId="42B95E21">
      <w:pPr>
        <w:spacing w:before="136" w:line="226" w:lineRule="auto"/>
        <w:ind w:left="4410"/>
        <w:rPr>
          <w:rFonts w:ascii="黑体" w:hAnsi="黑体" w:eastAsia="黑体" w:cs="黑体"/>
          <w:sz w:val="42"/>
          <w:szCs w:val="42"/>
          <w:highlight w:val="none"/>
          <w:u w:val="single" w:color="auto"/>
        </w:rPr>
      </w:pPr>
    </w:p>
    <w:p w14:paraId="4CD2192D">
      <w:pPr>
        <w:spacing w:before="136" w:line="226" w:lineRule="auto"/>
        <w:ind w:left="4410"/>
        <w:rPr>
          <w:rFonts w:ascii="黑体" w:hAnsi="黑体" w:eastAsia="黑体" w:cs="黑体"/>
          <w:sz w:val="42"/>
          <w:szCs w:val="42"/>
          <w:highlight w:val="none"/>
          <w:u w:val="single" w:color="auto"/>
        </w:rPr>
      </w:pPr>
    </w:p>
    <w:p w14:paraId="2B80DCC6">
      <w:pPr>
        <w:spacing w:before="136" w:line="226" w:lineRule="auto"/>
        <w:ind w:left="4410"/>
        <w:rPr>
          <w:rFonts w:ascii="黑体" w:hAnsi="黑体" w:eastAsia="黑体" w:cs="黑体"/>
          <w:sz w:val="42"/>
          <w:szCs w:val="42"/>
          <w:highlight w:val="none"/>
          <w:u w:val="single" w:color="auto"/>
        </w:rPr>
      </w:pPr>
    </w:p>
    <w:p w14:paraId="0368A534">
      <w:pPr>
        <w:spacing w:before="136" w:line="226" w:lineRule="auto"/>
        <w:ind w:left="4410"/>
        <w:rPr>
          <w:rFonts w:ascii="黑体" w:hAnsi="黑体" w:eastAsia="黑体" w:cs="黑体"/>
          <w:sz w:val="42"/>
          <w:szCs w:val="42"/>
          <w:highlight w:val="none"/>
          <w:u w:val="single" w:color="auto"/>
        </w:rPr>
      </w:pPr>
    </w:p>
    <w:p w14:paraId="17E82DDB">
      <w:pPr>
        <w:spacing w:before="136" w:line="226" w:lineRule="auto"/>
        <w:ind w:left="4410"/>
        <w:rPr>
          <w:rFonts w:ascii="黑体" w:hAnsi="黑体" w:eastAsia="黑体" w:cs="黑体"/>
          <w:sz w:val="42"/>
          <w:szCs w:val="42"/>
          <w:highlight w:val="none"/>
          <w:u w:val="single" w:color="auto"/>
        </w:rPr>
      </w:pPr>
    </w:p>
    <w:p w14:paraId="53964F66">
      <w:pPr>
        <w:spacing w:before="136" w:line="226" w:lineRule="auto"/>
        <w:ind w:left="4410"/>
        <w:rPr>
          <w:rFonts w:ascii="黑体" w:hAnsi="黑体" w:eastAsia="黑体" w:cs="黑体"/>
          <w:sz w:val="42"/>
          <w:szCs w:val="42"/>
          <w:highlight w:val="none"/>
          <w:u w:val="single" w:color="auto"/>
        </w:rPr>
      </w:pPr>
    </w:p>
    <w:p w14:paraId="1F3E2D4D">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14.其他应提供的证明资料（以下复印件均需加盖公章）</w:t>
      </w:r>
    </w:p>
    <w:p w14:paraId="550F2583">
      <w:pPr>
        <w:keepNext w:val="0"/>
        <w:keepLines w:val="0"/>
        <w:pageBreakBefore w:val="0"/>
        <w:widowControl w:val="0"/>
        <w:numPr>
          <w:ilvl w:val="0"/>
          <w:numId w:val="21"/>
        </w:numPr>
        <w:shd w:val="clear"/>
        <w:kinsoku/>
        <w:wordWrap/>
        <w:overflowPunct/>
        <w:topLinePunct w:val="0"/>
        <w:autoSpaceDE/>
        <w:autoSpaceDN/>
        <w:bidi w:val="0"/>
        <w:adjustRightInd w:val="0"/>
        <w:snapToGrid w:val="0"/>
        <w:spacing w:line="240" w:lineRule="auto"/>
        <w:ind w:left="70" w:leftChars="0" w:firstLine="560" w:firstLineChars="0"/>
        <w:jc w:val="left"/>
        <w:textAlignment w:val="auto"/>
        <w:rPr>
          <w:rFonts w:hint="eastAsia" w:ascii="仿宋" w:hAnsi="仿宋" w:eastAsia="仿宋" w:cs="仿宋"/>
          <w:b w:val="0"/>
          <w:bCs w:val="0"/>
          <w:color w:val="auto"/>
          <w:sz w:val="28"/>
          <w:szCs w:val="28"/>
          <w:highlight w:val="none"/>
          <w:lang w:eastAsia="zh-CN"/>
        </w:rPr>
      </w:pPr>
      <w:r>
        <w:rPr>
          <w:rFonts w:hint="eastAsia" w:ascii="仿宋" w:hAnsi="仿宋" w:eastAsia="仿宋" w:cs="仿宋"/>
          <w:b w:val="0"/>
          <w:bCs w:val="0"/>
          <w:color w:val="auto"/>
          <w:sz w:val="28"/>
          <w:szCs w:val="28"/>
          <w:highlight w:val="none"/>
        </w:rPr>
        <w:t>营业执照副本</w:t>
      </w:r>
      <w:r>
        <w:rPr>
          <w:rFonts w:hint="eastAsia" w:ascii="仿宋" w:hAnsi="仿宋" w:eastAsia="仿宋" w:cs="仿宋"/>
          <w:b w:val="0"/>
          <w:bCs w:val="0"/>
          <w:color w:val="auto"/>
          <w:sz w:val="28"/>
          <w:szCs w:val="28"/>
          <w:highlight w:val="none"/>
          <w:lang w:val="en-US" w:eastAsia="zh-CN"/>
        </w:rPr>
        <w:t>复印件</w:t>
      </w:r>
      <w:r>
        <w:rPr>
          <w:rFonts w:hint="eastAsia" w:ascii="仿宋" w:hAnsi="仿宋" w:eastAsia="仿宋" w:cs="仿宋"/>
          <w:b w:val="0"/>
          <w:bCs w:val="0"/>
          <w:color w:val="auto"/>
          <w:sz w:val="28"/>
          <w:szCs w:val="28"/>
          <w:highlight w:val="none"/>
          <w:lang w:eastAsia="zh-CN"/>
        </w:rPr>
        <w:t>；</w:t>
      </w:r>
    </w:p>
    <w:p w14:paraId="0003A865">
      <w:pPr>
        <w:keepNext w:val="0"/>
        <w:keepLines w:val="0"/>
        <w:pageBreakBefore w:val="0"/>
        <w:widowControl w:val="0"/>
        <w:numPr>
          <w:ilvl w:val="0"/>
          <w:numId w:val="21"/>
        </w:numPr>
        <w:shd w:val="clear"/>
        <w:kinsoku/>
        <w:wordWrap/>
        <w:overflowPunct/>
        <w:topLinePunct w:val="0"/>
        <w:autoSpaceDE/>
        <w:autoSpaceDN/>
        <w:bidi w:val="0"/>
        <w:adjustRightInd w:val="0"/>
        <w:snapToGrid w:val="0"/>
        <w:spacing w:line="240" w:lineRule="auto"/>
        <w:ind w:left="70" w:leftChars="0" w:firstLine="560" w:firstLineChars="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rPr>
        <w:t>缴纳税收证明资料（近</w:t>
      </w:r>
      <w:r>
        <w:rPr>
          <w:rFonts w:hint="eastAsia" w:ascii="仿宋" w:hAnsi="仿宋" w:eastAsia="仿宋" w:cs="仿宋"/>
          <w:b w:val="0"/>
          <w:bCs w:val="0"/>
          <w:color w:val="auto"/>
          <w:sz w:val="28"/>
          <w:szCs w:val="28"/>
          <w:highlight w:val="none"/>
          <w:lang w:val="en-US" w:eastAsia="zh-CN"/>
        </w:rPr>
        <w:t>一</w:t>
      </w:r>
      <w:r>
        <w:rPr>
          <w:rFonts w:hint="eastAsia" w:ascii="仿宋" w:hAnsi="仿宋" w:eastAsia="仿宋" w:cs="仿宋"/>
          <w:b w:val="0"/>
          <w:bCs w:val="0"/>
          <w:color w:val="auto"/>
          <w:sz w:val="28"/>
          <w:szCs w:val="28"/>
          <w:highlight w:val="none"/>
        </w:rPr>
        <w:t>个月）</w:t>
      </w:r>
      <w:r>
        <w:rPr>
          <w:rFonts w:hint="eastAsia" w:ascii="仿宋" w:hAnsi="仿宋" w:eastAsia="仿宋" w:cs="仿宋"/>
          <w:b w:val="0"/>
          <w:bCs w:val="0"/>
          <w:color w:val="auto"/>
          <w:sz w:val="28"/>
          <w:szCs w:val="28"/>
          <w:highlight w:val="none"/>
          <w:lang w:val="en-US" w:eastAsia="zh-CN"/>
        </w:rPr>
        <w:t>完税证明或增值税申报表；</w:t>
      </w:r>
    </w:p>
    <w:p w14:paraId="37EFE979">
      <w:pPr>
        <w:keepNext w:val="0"/>
        <w:keepLines w:val="0"/>
        <w:pageBreakBefore w:val="0"/>
        <w:widowControl w:val="0"/>
        <w:numPr>
          <w:ilvl w:val="0"/>
          <w:numId w:val="21"/>
        </w:numPr>
        <w:shd w:val="clear"/>
        <w:kinsoku/>
        <w:wordWrap/>
        <w:overflowPunct/>
        <w:topLinePunct w:val="0"/>
        <w:autoSpaceDE/>
        <w:autoSpaceDN/>
        <w:bidi w:val="0"/>
        <w:adjustRightInd w:val="0"/>
        <w:snapToGrid w:val="0"/>
        <w:spacing w:line="240" w:lineRule="auto"/>
        <w:ind w:left="70" w:leftChars="0" w:firstLine="560" w:firstLineChars="0"/>
        <w:jc w:val="left"/>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lang w:val="en-US" w:eastAsia="zh-CN"/>
        </w:rPr>
        <w:t>上年度纳税信用等级B级（含）以上，新注册企业M级；</w:t>
      </w:r>
    </w:p>
    <w:p w14:paraId="507CB304">
      <w:pPr>
        <w:keepNext w:val="0"/>
        <w:keepLines w:val="0"/>
        <w:pageBreakBefore w:val="0"/>
        <w:widowControl w:val="0"/>
        <w:numPr>
          <w:ilvl w:val="0"/>
          <w:numId w:val="21"/>
        </w:numPr>
        <w:shd w:val="clear"/>
        <w:kinsoku/>
        <w:wordWrap/>
        <w:overflowPunct/>
        <w:topLinePunct w:val="0"/>
        <w:autoSpaceDE/>
        <w:autoSpaceDN/>
        <w:bidi w:val="0"/>
        <w:adjustRightInd w:val="0"/>
        <w:snapToGrid w:val="0"/>
        <w:spacing w:line="240" w:lineRule="auto"/>
        <w:ind w:left="70" w:leftChars="0" w:firstLine="560" w:firstLineChars="0"/>
        <w:textAlignment w:val="auto"/>
        <w:rPr>
          <w:rFonts w:hint="eastAsia" w:ascii="仿宋" w:hAnsi="仿宋" w:eastAsia="仿宋" w:cs="仿宋"/>
          <w:b/>
          <w:bCs/>
          <w:spacing w:val="-1"/>
          <w:sz w:val="28"/>
          <w:szCs w:val="28"/>
          <w:highlight w:val="none"/>
        </w:rPr>
      </w:pPr>
      <w:r>
        <w:rPr>
          <w:rFonts w:hint="eastAsia" w:ascii="仿宋" w:hAnsi="仿宋" w:eastAsia="仿宋" w:cs="仿宋"/>
          <w:b w:val="0"/>
          <w:bCs w:val="0"/>
          <w:color w:val="auto"/>
          <w:sz w:val="28"/>
          <w:szCs w:val="28"/>
          <w:highlight w:val="none"/>
        </w:rPr>
        <w:t>缴纳社会保险证明资料（近</w:t>
      </w:r>
      <w:r>
        <w:rPr>
          <w:rFonts w:hint="eastAsia" w:ascii="仿宋" w:hAnsi="仿宋" w:eastAsia="仿宋" w:cs="仿宋"/>
          <w:b w:val="0"/>
          <w:bCs w:val="0"/>
          <w:color w:val="auto"/>
          <w:sz w:val="28"/>
          <w:szCs w:val="28"/>
          <w:highlight w:val="none"/>
          <w:lang w:val="en-US" w:eastAsia="zh-CN"/>
        </w:rPr>
        <w:t>一</w:t>
      </w:r>
      <w:r>
        <w:rPr>
          <w:rFonts w:hint="eastAsia" w:ascii="仿宋" w:hAnsi="仿宋" w:eastAsia="仿宋" w:cs="仿宋"/>
          <w:b w:val="0"/>
          <w:bCs w:val="0"/>
          <w:color w:val="auto"/>
          <w:sz w:val="28"/>
          <w:szCs w:val="28"/>
          <w:highlight w:val="none"/>
        </w:rPr>
        <w:t>个月）；</w:t>
      </w:r>
    </w:p>
    <w:p w14:paraId="4FB4BAA9">
      <w:pPr>
        <w:keepNext w:val="0"/>
        <w:keepLines w:val="0"/>
        <w:pageBreakBefore w:val="0"/>
        <w:widowControl w:val="0"/>
        <w:numPr>
          <w:ilvl w:val="0"/>
          <w:numId w:val="21"/>
        </w:numPr>
        <w:shd w:val="clear"/>
        <w:kinsoku/>
        <w:wordWrap/>
        <w:overflowPunct/>
        <w:topLinePunct w:val="0"/>
        <w:autoSpaceDE/>
        <w:autoSpaceDN/>
        <w:bidi w:val="0"/>
        <w:adjustRightInd w:val="0"/>
        <w:snapToGrid w:val="0"/>
        <w:spacing w:line="240" w:lineRule="auto"/>
        <w:ind w:left="70" w:leftChars="0" w:firstLine="560" w:firstLineChars="0"/>
        <w:textAlignment w:val="auto"/>
        <w:rPr>
          <w:rFonts w:hint="eastAsia" w:ascii="仿宋" w:hAnsi="仿宋" w:eastAsia="仿宋" w:cs="仿宋"/>
          <w:b/>
          <w:bCs/>
          <w:spacing w:val="-1"/>
          <w:sz w:val="28"/>
          <w:szCs w:val="28"/>
          <w:highlight w:val="none"/>
        </w:rPr>
      </w:pPr>
      <w:r>
        <w:rPr>
          <w:rFonts w:hint="eastAsia" w:ascii="仿宋" w:hAnsi="仿宋" w:eastAsia="仿宋" w:cs="仿宋"/>
          <w:b/>
          <w:bCs/>
          <w:spacing w:val="-1"/>
          <w:sz w:val="28"/>
          <w:szCs w:val="28"/>
          <w:highlight w:val="none"/>
          <w:lang w:val="en-US" w:eastAsia="zh-CN"/>
        </w:rPr>
        <w:t>现场施工人员电工证复印件（不少于2人）</w:t>
      </w:r>
    </w:p>
    <w:p w14:paraId="53589557">
      <w:pPr>
        <w:keepNext w:val="0"/>
        <w:keepLines w:val="0"/>
        <w:pageBreakBefore w:val="0"/>
        <w:widowControl w:val="0"/>
        <w:numPr>
          <w:ilvl w:val="-1"/>
          <w:numId w:val="0"/>
        </w:numPr>
        <w:shd w:val="clear"/>
        <w:kinsoku/>
        <w:wordWrap/>
        <w:overflowPunct/>
        <w:topLinePunct w:val="0"/>
        <w:autoSpaceDE/>
        <w:autoSpaceDN/>
        <w:bidi w:val="0"/>
        <w:adjustRightInd w:val="0"/>
        <w:snapToGrid w:val="0"/>
        <w:spacing w:line="240" w:lineRule="auto"/>
        <w:ind w:left="630" w:leftChars="0" w:firstLine="0" w:firstLineChars="0"/>
        <w:jc w:val="left"/>
        <w:textAlignment w:val="auto"/>
        <w:rPr>
          <w:rFonts w:hint="eastAsia" w:ascii="仿宋" w:hAnsi="仿宋" w:eastAsia="仿宋" w:cs="仿宋"/>
          <w:b w:val="0"/>
          <w:bCs w:val="0"/>
          <w:sz w:val="28"/>
          <w:szCs w:val="28"/>
          <w:highlight w:val="none"/>
          <w:lang w:val="en-US" w:eastAsia="zh-CN"/>
        </w:rPr>
      </w:pPr>
    </w:p>
    <w:p w14:paraId="36371D3A">
      <w:pPr>
        <w:spacing w:line="244" w:lineRule="auto"/>
        <w:rPr>
          <w:rFonts w:ascii="Arial"/>
          <w:sz w:val="21"/>
          <w:highlight w:val="none"/>
        </w:rPr>
      </w:pPr>
    </w:p>
    <w:p w14:paraId="43E66ECF">
      <w:pPr>
        <w:spacing w:line="244" w:lineRule="auto"/>
        <w:rPr>
          <w:rFonts w:ascii="Arial"/>
          <w:sz w:val="21"/>
          <w:highlight w:val="none"/>
        </w:rPr>
      </w:pPr>
    </w:p>
    <w:p w14:paraId="3CA0EE2C">
      <w:pPr>
        <w:spacing w:line="245" w:lineRule="auto"/>
        <w:rPr>
          <w:rFonts w:ascii="Arial"/>
          <w:sz w:val="21"/>
          <w:highlight w:val="none"/>
        </w:rPr>
      </w:pPr>
    </w:p>
    <w:sectPr>
      <w:footerReference r:id="rId14" w:type="default"/>
      <w:pgSz w:w="12240" w:h="15840"/>
      <w:pgMar w:top="1346" w:right="1836" w:bottom="1121" w:left="1836" w:header="0" w:footer="894" w:gutter="0"/>
      <w:pgNumType w:fmt="decimal"/>
      <w:cols w:space="720" w:num="1"/>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闫晓伟" w:date="2026-06-15T10:55:22Z" w:initials="">
    <w:p w14:paraId="3982691E">
      <w:pPr>
        <w:pStyle w:val="7"/>
        <w:rPr>
          <w:rFonts w:hint="default" w:eastAsia="宋体"/>
          <w:lang w:val="en-US" w:eastAsia="zh-CN"/>
        </w:rPr>
      </w:pPr>
      <w:r>
        <w:rPr>
          <w:rFonts w:hint="eastAsia" w:eastAsia="宋体"/>
          <w:lang w:val="en-US" w:eastAsia="zh-CN"/>
        </w:rPr>
        <w:t>是否可以增加一定比例（如30%）的预付款？</w:t>
      </w:r>
    </w:p>
  </w:comment>
  <w:comment w:id="1" w:author="徐梦竹律师" w:date="2026-06-05T17:17:52Z" w:initials="">
    <w:p w14:paraId="0404B560">
      <w:pPr>
        <w:pStyle w:val="7"/>
        <w:rPr>
          <w:rFonts w:hint="default" w:eastAsia="宋体"/>
          <w:lang w:val="en-US" w:eastAsia="zh-CN"/>
        </w:rPr>
      </w:pPr>
      <w:r>
        <w:rPr>
          <w:rFonts w:hint="eastAsia" w:eastAsia="宋体"/>
          <w:lang w:val="en-US" w:eastAsia="zh-CN"/>
        </w:rPr>
        <w:t>建议补充付款前提：乙方提供符合甲方要求的发票后。</w:t>
      </w:r>
    </w:p>
  </w:comment>
  <w:comment w:id="2" w:author="徐梦竹律师" w:date="2026-06-08T14:03:49Z" w:initials="">
    <w:p w14:paraId="06341296">
      <w:pPr>
        <w:pStyle w:val="7"/>
        <w:rPr>
          <w:rFonts w:hint="default" w:eastAsia="宋体"/>
          <w:lang w:val="en-US" w:eastAsia="zh-CN"/>
        </w:rPr>
      </w:pPr>
      <w:r>
        <w:rPr>
          <w:rFonts w:hint="eastAsia" w:eastAsia="宋体"/>
          <w:lang w:val="en-US" w:eastAsia="zh-CN"/>
        </w:rPr>
        <w:t>提示核实，确保与评分标准一致</w:t>
      </w:r>
    </w:p>
  </w:comment>
  <w:comment w:id="3" w:author="国浩" w:date="2026-07-01T11:29:46Z" w:initials="">
    <w:p w14:paraId="58AC8664">
      <w:pPr>
        <w:pStyle w:val="7"/>
        <w:rPr>
          <w:rFonts w:hint="default" w:eastAsia="宋体"/>
          <w:lang w:val="en-US" w:eastAsia="zh-CN"/>
        </w:rPr>
      </w:pPr>
      <w:r>
        <w:rPr>
          <w:rFonts w:hint="eastAsia" w:eastAsia="宋体"/>
          <w:lang w:val="en-US" w:eastAsia="zh-CN"/>
        </w:rPr>
        <w:t>重复了，建议修改。</w:t>
      </w:r>
    </w:p>
  </w:comment>
  <w:comment w:id="4" w:author="徐梦竹律师" w:date="2026-06-05T17:20:54Z" w:initials="">
    <w:p w14:paraId="2C612BAA">
      <w:pPr>
        <w:pStyle w:val="7"/>
        <w:rPr>
          <w:rFonts w:hint="eastAsia" w:eastAsia="宋体"/>
          <w:lang w:val="en-US" w:eastAsia="zh-CN"/>
        </w:rPr>
      </w:pPr>
      <w:r>
        <w:rPr>
          <w:rFonts w:hint="eastAsia" w:eastAsia="宋体"/>
          <w:lang w:val="en-US" w:eastAsia="zh-CN"/>
        </w:rPr>
        <w:t>提示补充空白处</w:t>
      </w:r>
    </w:p>
  </w:comment>
  <w:comment w:id="5" w:author="徐梦竹律师" w:date="2026-06-05T16:57:17Z" w:initials="">
    <w:p w14:paraId="46C91571">
      <w:pPr>
        <w:pStyle w:val="7"/>
        <w:rPr>
          <w:rFonts w:hint="default" w:eastAsia="宋体"/>
          <w:lang w:val="en-US" w:eastAsia="zh-CN"/>
        </w:rPr>
      </w:pPr>
      <w:r>
        <w:rPr>
          <w:rFonts w:hint="eastAsia" w:eastAsia="宋体"/>
          <w:lang w:val="en-US" w:eastAsia="zh-CN"/>
        </w:rPr>
        <w:t>且中标人应赔偿给采购人造成的损失</w:t>
      </w:r>
    </w:p>
  </w:comment>
  <w:comment w:id="6" w:author="徐梦竹律师" w:date="2026-06-05T13:33:05Z" w:initials="">
    <w:p w14:paraId="2F59CAAF">
      <w:pPr>
        <w:pStyle w:val="7"/>
        <w:rPr>
          <w:rFonts w:hint="default" w:eastAsia="宋体"/>
          <w:lang w:val="en-US" w:eastAsia="zh-CN"/>
        </w:rPr>
      </w:pPr>
      <w:r>
        <w:rPr>
          <w:rFonts w:hint="eastAsia" w:eastAsia="宋体"/>
          <w:lang w:val="en-US" w:eastAsia="zh-CN"/>
        </w:rPr>
        <w:t>建议增加：中标人因自身原因不能签订合同或履行合同的，应赔偿采购人的损失。</w:t>
      </w:r>
    </w:p>
  </w:comment>
  <w:comment w:id="7" w:author="国浩" w:date="2026-07-01T11:32:56Z" w:initials="">
    <w:p w14:paraId="2E6D4EE1">
      <w:pPr>
        <w:pStyle w:val="7"/>
        <w:rPr>
          <w:rFonts w:hint="default" w:eastAsia="宋体"/>
          <w:lang w:val="en-US" w:eastAsia="zh-CN"/>
        </w:rPr>
      </w:pPr>
      <w:r>
        <w:rPr>
          <w:rFonts w:hint="eastAsia" w:eastAsia="宋体"/>
          <w:lang w:val="en-US" w:eastAsia="zh-CN"/>
        </w:rPr>
        <w:t>编号混乱，建议修改。</w:t>
      </w:r>
    </w:p>
  </w:comment>
  <w:comment w:id="8" w:author="国浩" w:date="2026-07-01T11:34:12Z" w:initials="">
    <w:p w14:paraId="1FD9B5E9">
      <w:pPr>
        <w:pStyle w:val="7"/>
        <w:rPr>
          <w:rFonts w:hint="default" w:eastAsia="宋体"/>
          <w:lang w:val="en-US" w:eastAsia="zh-CN"/>
        </w:rPr>
      </w:pPr>
      <w:r>
        <w:rPr>
          <w:rFonts w:hint="eastAsia" w:eastAsia="宋体"/>
          <w:lang w:val="en-US" w:eastAsia="zh-CN"/>
        </w:rPr>
        <w:t>错别字，建议修改。</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3982691E" w15:done="0"/>
  <w15:commentEx w15:paraId="0404B560" w15:done="0"/>
  <w15:commentEx w15:paraId="06341296" w15:done="0"/>
  <w15:commentEx w15:paraId="58AC8664" w15:done="0"/>
  <w15:commentEx w15:paraId="2C612BAA" w15:done="0"/>
  <w15:commentEx w15:paraId="46C91571" w15:done="0"/>
  <w15:commentEx w15:paraId="2F59CAAF" w15:done="0"/>
  <w15:commentEx w15:paraId="2E6D4EE1" w15:done="0"/>
  <w15:commentEx w15:paraId="1FD9B5E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BE2179F1-67D4-41B0-B787-6A467E2D701F}"/>
  </w:font>
  <w:font w:name="黑体">
    <w:panose1 w:val="02010609060101010101"/>
    <w:charset w:val="86"/>
    <w:family w:val="auto"/>
    <w:pitch w:val="default"/>
    <w:sig w:usb0="800002BF" w:usb1="38CF7CFA" w:usb2="00000016" w:usb3="00000000" w:csb0="00040001" w:csb1="00000000"/>
    <w:embedRegular r:id="rId2" w:fontKey="{01D4E7CB-599E-4C5E-9573-A0E1C867253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F9826BD0-209E-4DD9-A038-B92A7EE7EF4D}"/>
  </w:font>
  <w:font w:name="Arial Unicode MS">
    <w:altName w:val="宋体"/>
    <w:panose1 w:val="020B0604020202020204"/>
    <w:charset w:val="86"/>
    <w:family w:val="swiss"/>
    <w:pitch w:val="default"/>
    <w:sig w:usb0="00000000" w:usb1="00000000" w:usb2="0000003F" w:usb3="00000000" w:csb0="603F01FF" w:csb1="FFFF0000"/>
  </w:font>
  <w:font w:name="方正小标宋简体">
    <w:panose1 w:val="03000509000000000000"/>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4" w:fontKey="{CC30BEC0-5EFB-4FA8-A047-48B12EF1D36F}"/>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embedRegular r:id="rId5" w:fontKey="{19CC27DF-FC89-46CC-AD0B-6DD48DB867D7}"/>
  </w:font>
  <w:font w:name="仿宋">
    <w:panose1 w:val="02010609060101010101"/>
    <w:charset w:val="86"/>
    <w:family w:val="modern"/>
    <w:pitch w:val="default"/>
    <w:sig w:usb0="800002BF" w:usb1="38CF7CFA" w:usb2="00000016" w:usb3="00000000" w:csb0="00040001" w:csb1="00000000"/>
    <w:embedRegular r:id="rId6" w:fontKey="{466F40E8-27F9-4B85-A420-26DCCD310AF9}"/>
  </w:font>
  <w:font w:name="微软雅黑">
    <w:panose1 w:val="020B0503020204020204"/>
    <w:charset w:val="86"/>
    <w:family w:val="swiss"/>
    <w:pitch w:val="default"/>
    <w:sig w:usb0="80000287" w:usb1="2ACF3C50" w:usb2="00000016" w:usb3="00000000" w:csb0="0004001F" w:csb1="00000000"/>
    <w:embedRegular r:id="rId7" w:fontKey="{C22CC721-92DE-47E1-B465-B7B42382D21A}"/>
  </w:font>
  <w:font w:name="_x000B__x000C_">
    <w:altName w:val="Times New Roman"/>
    <w:panose1 w:val="00000000000000000000"/>
    <w:charset w:val="00"/>
    <w:family w:val="roman"/>
    <w:pitch w:val="default"/>
    <w:sig w:usb0="00000000" w:usb1="00000000" w:usb2="00000000" w:usb3="00000000" w:csb0="00040001" w:csb1="00000000"/>
    <w:embedRegular r:id="rId8" w:fontKey="{4217A733-AEA6-4264-BA38-860909B5815F}"/>
  </w:font>
  <w:font w:name="方正小标宋_GBK">
    <w:panose1 w:val="02000000000000000000"/>
    <w:charset w:val="86"/>
    <w:family w:val="auto"/>
    <w:pitch w:val="default"/>
    <w:sig w:usb0="00000001" w:usb1="080E0000" w:usb2="00000000" w:usb3="00000000" w:csb0="00040000" w:csb1="00000000"/>
    <w:embedRegular r:id="rId9" w:fontKey="{620E7340-4059-43A0-AB05-7F72085249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DC7170">
    <w:pPr>
      <w:pStyle w:val="11"/>
    </w:pPr>
  </w:p>
  <w:p w14:paraId="59AF6C08">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FB22DD">
    <w:pPr>
      <w:pStyle w:val="8"/>
      <w:spacing w:line="230" w:lineRule="auto"/>
      <w:ind w:left="5762"/>
      <w:rPr>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5550F5">
    <w:pPr>
      <w:pStyle w:val="8"/>
      <w:spacing w:line="230" w:lineRule="auto"/>
      <w:ind w:left="5762"/>
      <w:rPr>
        <w:sz w:val="1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A44564">
    <w:pPr>
      <w:pStyle w:val="8"/>
      <w:spacing w:line="230" w:lineRule="auto"/>
      <w:ind w:left="5762"/>
      <w:rPr>
        <w:sz w:val="18"/>
        <w:szCs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1DCC73">
    <w:pPr>
      <w:pStyle w:val="8"/>
      <w:spacing w:line="230" w:lineRule="auto"/>
      <w:ind w:left="5762"/>
      <w:rPr>
        <w:sz w:val="18"/>
        <w:szCs w:val="1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891741">
    <w:pPr>
      <w:pStyle w:val="8"/>
      <w:spacing w:line="230" w:lineRule="auto"/>
      <w:ind w:left="5762"/>
      <w:rPr>
        <w:sz w:val="18"/>
        <w:szCs w:val="1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96182D">
    <w:pPr>
      <w:spacing w:line="236" w:lineRule="auto"/>
      <w:ind w:left="4200"/>
      <w:rPr>
        <w:rFonts w:ascii="Calibri" w:hAnsi="Calibri" w:eastAsia="Calibri" w:cs="Calibri"/>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80511F">
    <w:pPr>
      <w:pStyle w:val="1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76809B"/>
    <w:multiLevelType w:val="multilevel"/>
    <w:tmpl w:val="8676809B"/>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1">
    <w:nsid w:val="877C60D9"/>
    <w:multiLevelType w:val="multilevel"/>
    <w:tmpl w:val="877C60D9"/>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2">
    <w:nsid w:val="8AA4BC1D"/>
    <w:multiLevelType w:val="multilevel"/>
    <w:tmpl w:val="8AA4BC1D"/>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3">
    <w:nsid w:val="8B59B42E"/>
    <w:multiLevelType w:val="multilevel"/>
    <w:tmpl w:val="8B59B42E"/>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4">
    <w:nsid w:val="97C30CC9"/>
    <w:multiLevelType w:val="singleLevel"/>
    <w:tmpl w:val="97C30CC9"/>
    <w:lvl w:ilvl="0" w:tentative="0">
      <w:start w:val="2"/>
      <w:numFmt w:val="chineseCounting"/>
      <w:suff w:val="space"/>
      <w:lvlText w:val="第%1章"/>
      <w:lvlJc w:val="left"/>
      <w:rPr>
        <w:rFonts w:hint="eastAsia"/>
      </w:rPr>
    </w:lvl>
  </w:abstractNum>
  <w:abstractNum w:abstractNumId="5">
    <w:nsid w:val="A42FBC2A"/>
    <w:multiLevelType w:val="multilevel"/>
    <w:tmpl w:val="A42FBC2A"/>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6">
    <w:nsid w:val="AB7A9786"/>
    <w:multiLevelType w:val="singleLevel"/>
    <w:tmpl w:val="AB7A9786"/>
    <w:lvl w:ilvl="0" w:tentative="0">
      <w:start w:val="1"/>
      <w:numFmt w:val="decimal"/>
      <w:suff w:val="nothing"/>
      <w:lvlText w:val="（%1）"/>
      <w:lvlJc w:val="left"/>
      <w:pPr>
        <w:ind w:left="70"/>
      </w:pPr>
    </w:lvl>
  </w:abstractNum>
  <w:abstractNum w:abstractNumId="7">
    <w:nsid w:val="CD4C943F"/>
    <w:multiLevelType w:val="singleLevel"/>
    <w:tmpl w:val="CD4C943F"/>
    <w:lvl w:ilvl="0" w:tentative="0">
      <w:start w:val="1"/>
      <w:numFmt w:val="chineseCounting"/>
      <w:suff w:val="nothing"/>
      <w:lvlText w:val="%1、"/>
      <w:lvlJc w:val="left"/>
      <w:rPr>
        <w:rFonts w:hint="eastAsia"/>
      </w:rPr>
    </w:lvl>
  </w:abstractNum>
  <w:abstractNum w:abstractNumId="8">
    <w:nsid w:val="F0E8FB2C"/>
    <w:multiLevelType w:val="multilevel"/>
    <w:tmpl w:val="F0E8FB2C"/>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o"/>
      <w:lvlJc w:val="left"/>
      <w:pPr>
        <w:tabs>
          <w:tab w:val="left" w:pos="1440"/>
        </w:tabs>
        <w:ind w:left="1440" w:hanging="360"/>
      </w:pPr>
      <w:rPr>
        <w:rFonts w:ascii="Courier New" w:hAnsi="Courier New" w:cs="Courier New"/>
        <w:sz w:val="20"/>
      </w:rPr>
    </w:lvl>
    <w:lvl w:ilvl="2" w:tentative="0">
      <w:start w:val="1"/>
      <w:numFmt w:val="bullet"/>
      <w:lvlText w:val=""/>
      <w:lvlJc w:val="left"/>
      <w:pPr>
        <w:tabs>
          <w:tab w:val="left" w:pos="2160"/>
        </w:tabs>
        <w:ind w:left="2160" w:hanging="360"/>
      </w:pPr>
      <w:rPr>
        <w:rFonts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9">
    <w:nsid w:val="1A4A02AE"/>
    <w:multiLevelType w:val="singleLevel"/>
    <w:tmpl w:val="1A4A02AE"/>
    <w:lvl w:ilvl="0" w:tentative="0">
      <w:start w:val="1"/>
      <w:numFmt w:val="decimal"/>
      <w:lvlText w:val="%1."/>
      <w:lvlJc w:val="left"/>
      <w:pPr>
        <w:tabs>
          <w:tab w:val="left" w:pos="312"/>
        </w:tabs>
      </w:pPr>
    </w:lvl>
  </w:abstractNum>
  <w:abstractNum w:abstractNumId="10">
    <w:nsid w:val="20A2403E"/>
    <w:multiLevelType w:val="singleLevel"/>
    <w:tmpl w:val="20A2403E"/>
    <w:lvl w:ilvl="0" w:tentative="0">
      <w:start w:val="1"/>
      <w:numFmt w:val="decimal"/>
      <w:lvlText w:val="(%1)"/>
      <w:lvlJc w:val="left"/>
      <w:pPr>
        <w:ind w:left="425" w:hanging="425"/>
      </w:pPr>
      <w:rPr>
        <w:rFonts w:hint="default"/>
      </w:rPr>
    </w:lvl>
  </w:abstractNum>
  <w:abstractNum w:abstractNumId="11">
    <w:nsid w:val="20A7DBB6"/>
    <w:multiLevelType w:val="multilevel"/>
    <w:tmpl w:val="20A7DBB6"/>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12">
    <w:nsid w:val="267E571C"/>
    <w:multiLevelType w:val="singleLevel"/>
    <w:tmpl w:val="267E571C"/>
    <w:lvl w:ilvl="0" w:tentative="0">
      <w:start w:val="5"/>
      <w:numFmt w:val="decimal"/>
      <w:suff w:val="nothing"/>
      <w:lvlText w:val="%1、"/>
      <w:lvlJc w:val="left"/>
    </w:lvl>
  </w:abstractNum>
  <w:abstractNum w:abstractNumId="13">
    <w:nsid w:val="354D989D"/>
    <w:multiLevelType w:val="multilevel"/>
    <w:tmpl w:val="354D989D"/>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14">
    <w:nsid w:val="3C8861C4"/>
    <w:multiLevelType w:val="multilevel"/>
    <w:tmpl w:val="3C8861C4"/>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15">
    <w:nsid w:val="557BC311"/>
    <w:multiLevelType w:val="singleLevel"/>
    <w:tmpl w:val="557BC311"/>
    <w:lvl w:ilvl="0" w:tentative="0">
      <w:start w:val="1"/>
      <w:numFmt w:val="decimal"/>
      <w:suff w:val="nothing"/>
      <w:lvlText w:val="（%1）"/>
      <w:lvlJc w:val="left"/>
      <w:pPr>
        <w:ind w:left="70"/>
      </w:pPr>
    </w:lvl>
  </w:abstractNum>
  <w:abstractNum w:abstractNumId="16">
    <w:nsid w:val="5ADDB4C2"/>
    <w:multiLevelType w:val="multilevel"/>
    <w:tmpl w:val="5ADDB4C2"/>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17">
    <w:nsid w:val="5B307FC9"/>
    <w:multiLevelType w:val="multilevel"/>
    <w:tmpl w:val="5B307FC9"/>
    <w:lvl w:ilvl="0" w:tentative="0">
      <w:start w:val="1"/>
      <w:numFmt w:val="decimal"/>
      <w:suff w:val="space"/>
      <w:lvlText w:val="第%1章"/>
      <w:lvlJc w:val="left"/>
      <w:pPr>
        <w:ind w:left="432" w:hanging="432"/>
      </w:pPr>
      <w:rPr>
        <w:rFonts w:hint="default" w:ascii="方正小标宋简体" w:hAnsi="方正小标宋简体" w:eastAsia="方正小标宋简体" w:cs="方正小标宋简体"/>
        <w:b w:val="0"/>
        <w:bCs/>
        <w:i w:val="0"/>
        <w:sz w:val="36"/>
      </w:rPr>
    </w:lvl>
    <w:lvl w:ilvl="1" w:tentative="0">
      <w:start w:val="1"/>
      <w:numFmt w:val="decimal"/>
      <w:suff w:val="space"/>
      <w:lvlText w:val="%1.%2"/>
      <w:lvlJc w:val="left"/>
      <w:pPr>
        <w:ind w:left="576" w:hanging="576"/>
      </w:pPr>
      <w:rPr>
        <w:rFonts w:hint="default" w:ascii="黑体" w:hAnsi="黑体" w:eastAsia="黑体" w:cs="黑体"/>
        <w:b w:val="0"/>
        <w:bCs/>
        <w:i w:val="0"/>
        <w:sz w:val="30"/>
        <w:szCs w:val="30"/>
      </w:rPr>
    </w:lvl>
    <w:lvl w:ilvl="2" w:tentative="0">
      <w:start w:val="1"/>
      <w:numFmt w:val="decimal"/>
      <w:suff w:val="space"/>
      <w:lvlText w:val="%1.%2.%3"/>
      <w:lvlJc w:val="left"/>
      <w:pPr>
        <w:ind w:left="720" w:hanging="720"/>
      </w:pPr>
      <w:rPr>
        <w:rFonts w:hint="default" w:ascii="楷体_GB2312" w:hAnsi="楷体_GB2312" w:eastAsia="楷体_GB2312" w:cs="楷体_GB2312"/>
        <w:b w:val="0"/>
        <w:bCs/>
        <w:i w:val="0"/>
        <w:sz w:val="30"/>
      </w:rPr>
    </w:lvl>
    <w:lvl w:ilvl="3" w:tentative="0">
      <w:start w:val="1"/>
      <w:numFmt w:val="decimal"/>
      <w:pStyle w:val="5"/>
      <w:suff w:val="space"/>
      <w:lvlText w:val="%1.%2.%3.%4"/>
      <w:lvlJc w:val="left"/>
      <w:pPr>
        <w:ind w:left="864" w:hanging="864"/>
      </w:pPr>
      <w:rPr>
        <w:rFonts w:hint="default" w:ascii="仿宋_GB2312" w:hAnsi="仿宋_GB2312" w:eastAsia="仿宋_GB2312" w:cs="仿宋_GB2312"/>
        <w:b w:val="0"/>
        <w:bCs/>
        <w:i w:val="0"/>
        <w:sz w:val="30"/>
        <w:szCs w:val="30"/>
      </w:rPr>
    </w:lvl>
    <w:lvl w:ilvl="4" w:tentative="0">
      <w:start w:val="1"/>
      <w:numFmt w:val="decimal"/>
      <w:suff w:val="space"/>
      <w:lvlText w:val="%1.%2.%3.%4.%5"/>
      <w:lvlJc w:val="left"/>
      <w:pPr>
        <w:ind w:left="1008" w:hanging="1008"/>
      </w:pPr>
      <w:rPr>
        <w:rFonts w:hint="eastAsia" w:ascii="宋体" w:eastAsia="宋体"/>
        <w:b/>
        <w:i w:val="0"/>
        <w:sz w:val="24"/>
      </w:rPr>
    </w:lvl>
    <w:lvl w:ilvl="5" w:tentative="0">
      <w:start w:val="1"/>
      <w:numFmt w:val="decimal"/>
      <w:lvlText w:val="%1.%2.%3.%4.%5.%6"/>
      <w:lvlJc w:val="left"/>
      <w:pPr>
        <w:tabs>
          <w:tab w:val="left" w:pos="0"/>
        </w:tabs>
        <w:ind w:left="1152" w:hanging="1152"/>
      </w:pPr>
      <w:rPr>
        <w:rFonts w:hint="eastAsia"/>
      </w:rPr>
    </w:lvl>
    <w:lvl w:ilvl="6" w:tentative="0">
      <w:start w:val="1"/>
      <w:numFmt w:val="decimal"/>
      <w:lvlText w:val="%1.%2.%3.%4.%5.%6.%7"/>
      <w:lvlJc w:val="left"/>
      <w:pPr>
        <w:tabs>
          <w:tab w:val="left" w:pos="0"/>
        </w:tabs>
        <w:ind w:left="1296" w:hanging="1296"/>
      </w:pPr>
      <w:rPr>
        <w:rFonts w:hint="eastAsia"/>
      </w:rPr>
    </w:lvl>
    <w:lvl w:ilvl="7" w:tentative="0">
      <w:start w:val="1"/>
      <w:numFmt w:val="decimal"/>
      <w:lvlText w:val="%1.%2.%3.%4.%5.%6.%7.%8"/>
      <w:lvlJc w:val="left"/>
      <w:pPr>
        <w:tabs>
          <w:tab w:val="left" w:pos="0"/>
        </w:tabs>
        <w:ind w:left="1440" w:hanging="1440"/>
      </w:pPr>
      <w:rPr>
        <w:rFonts w:hint="eastAsia"/>
      </w:rPr>
    </w:lvl>
    <w:lvl w:ilvl="8" w:tentative="0">
      <w:start w:val="1"/>
      <w:numFmt w:val="decimal"/>
      <w:lvlText w:val="%1.%2.%3.%4.%5.%6.%7.%8.%9"/>
      <w:lvlJc w:val="left"/>
      <w:pPr>
        <w:tabs>
          <w:tab w:val="left" w:pos="0"/>
        </w:tabs>
        <w:ind w:left="1584" w:hanging="1584"/>
      </w:pPr>
      <w:rPr>
        <w:rFonts w:hint="eastAsia"/>
      </w:rPr>
    </w:lvl>
  </w:abstractNum>
  <w:abstractNum w:abstractNumId="18">
    <w:nsid w:val="659F39AD"/>
    <w:multiLevelType w:val="multilevel"/>
    <w:tmpl w:val="659F39AD"/>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19">
    <w:nsid w:val="665EEB65"/>
    <w:multiLevelType w:val="multilevel"/>
    <w:tmpl w:val="665EEB65"/>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num w:numId="1">
    <w:abstractNumId w:val="17"/>
  </w:num>
  <w:num w:numId="2">
    <w:abstractNumId w:val="7"/>
  </w:num>
  <w:num w:numId="3">
    <w:abstractNumId w:val="10"/>
  </w:num>
  <w:num w:numId="4">
    <w:abstractNumId w:val="15"/>
  </w:num>
  <w:num w:numId="5">
    <w:abstractNumId w:val="4"/>
  </w:num>
  <w:num w:numId="6">
    <w:abstractNumId w:val="9"/>
  </w:num>
  <w:num w:numId="7">
    <w:abstractNumId w:val="13"/>
  </w:num>
  <w:num w:numId="8">
    <w:abstractNumId w:val="19"/>
  </w:num>
  <w:num w:numId="9">
    <w:abstractNumId w:val="8"/>
  </w:num>
  <w:num w:numId="10">
    <w:abstractNumId w:val="2"/>
  </w:num>
  <w:num w:numId="11">
    <w:abstractNumId w:val="14"/>
  </w:num>
  <w:num w:numId="12">
    <w:abstractNumId w:val="1"/>
  </w:num>
  <w:num w:numId="13">
    <w:abstractNumId w:val="16"/>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11"/>
  </w:num>
  <w:num w:numId="17">
    <w:abstractNumId w:val="0"/>
  </w:num>
  <w:num w:numId="18">
    <w:abstractNumId w:val="3"/>
  </w:num>
  <w:num w:numId="19">
    <w:abstractNumId w:val="18"/>
  </w:num>
  <w:num w:numId="20">
    <w:abstractNumId w:val="12"/>
  </w:num>
  <w:num w:numId="21">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闫晓伟">
    <w15:presenceInfo w15:providerId="WPS Office" w15:userId="2893562201"/>
  </w15:person>
  <w15:person w15:author="徐梦竹律师">
    <w15:presenceInfo w15:providerId="WPS Office" w15:userId="1212396625"/>
  </w15:person>
  <w15:person w15:author="国浩">
    <w15:presenceInfo w15:providerId="WPS Office" w15:userId="21535116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7"/>
  <w:displayBackgroundShape w:val="1"/>
  <w:embedTrueTypeFonts/>
  <w:saveSubsetFonts/>
  <w:bordersDoNotSurroundHeader w:val="0"/>
  <w:bordersDoNotSurroundFooter w:val="0"/>
  <w:revisionView w:markup="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compatSetting w:name="compatibilityMode" w:uri="http://schemas.microsoft.com/office/word" w:val="14"/>
  </w:compat>
  <w:rsids>
    <w:rsidRoot w:val="00000000"/>
    <w:rsid w:val="006D5705"/>
    <w:rsid w:val="0098388D"/>
    <w:rsid w:val="00AA2F49"/>
    <w:rsid w:val="01946729"/>
    <w:rsid w:val="01A52FE2"/>
    <w:rsid w:val="01BF5575"/>
    <w:rsid w:val="01C761D7"/>
    <w:rsid w:val="02251150"/>
    <w:rsid w:val="028C278B"/>
    <w:rsid w:val="02F84FDF"/>
    <w:rsid w:val="03783199"/>
    <w:rsid w:val="039A75F0"/>
    <w:rsid w:val="043B10FF"/>
    <w:rsid w:val="044F7748"/>
    <w:rsid w:val="05AE7B5F"/>
    <w:rsid w:val="05B0602F"/>
    <w:rsid w:val="05BA67E6"/>
    <w:rsid w:val="05DD06BF"/>
    <w:rsid w:val="061B74BD"/>
    <w:rsid w:val="068400A0"/>
    <w:rsid w:val="06C618DB"/>
    <w:rsid w:val="06DB2114"/>
    <w:rsid w:val="06EF1EDE"/>
    <w:rsid w:val="07B436A2"/>
    <w:rsid w:val="08230FE7"/>
    <w:rsid w:val="0870581B"/>
    <w:rsid w:val="08D132F7"/>
    <w:rsid w:val="097E58B4"/>
    <w:rsid w:val="09B71227"/>
    <w:rsid w:val="09E10052"/>
    <w:rsid w:val="09E15512"/>
    <w:rsid w:val="09E85B5D"/>
    <w:rsid w:val="0A1C108A"/>
    <w:rsid w:val="0A9778B8"/>
    <w:rsid w:val="0B0C60DD"/>
    <w:rsid w:val="0B4A667C"/>
    <w:rsid w:val="0B5A1F7A"/>
    <w:rsid w:val="0BC6115D"/>
    <w:rsid w:val="0C582584"/>
    <w:rsid w:val="0C8F16CD"/>
    <w:rsid w:val="0D2E35AF"/>
    <w:rsid w:val="0D6611F0"/>
    <w:rsid w:val="0DAB39F5"/>
    <w:rsid w:val="0DE100BF"/>
    <w:rsid w:val="0E42306B"/>
    <w:rsid w:val="0E527771"/>
    <w:rsid w:val="0F46331D"/>
    <w:rsid w:val="0F5F0397"/>
    <w:rsid w:val="0FEB1CE2"/>
    <w:rsid w:val="108D1D30"/>
    <w:rsid w:val="11780BFF"/>
    <w:rsid w:val="123152ED"/>
    <w:rsid w:val="126E269F"/>
    <w:rsid w:val="12CF4982"/>
    <w:rsid w:val="12EA6808"/>
    <w:rsid w:val="131D26E3"/>
    <w:rsid w:val="13A31C41"/>
    <w:rsid w:val="13BC5DB8"/>
    <w:rsid w:val="142179C9"/>
    <w:rsid w:val="142A4AE2"/>
    <w:rsid w:val="145558C5"/>
    <w:rsid w:val="147D0CCA"/>
    <w:rsid w:val="14BC76F2"/>
    <w:rsid w:val="14CD21B3"/>
    <w:rsid w:val="14FB4178"/>
    <w:rsid w:val="14FC1476"/>
    <w:rsid w:val="150B2427"/>
    <w:rsid w:val="152143B8"/>
    <w:rsid w:val="15C301DF"/>
    <w:rsid w:val="162738E6"/>
    <w:rsid w:val="16287735"/>
    <w:rsid w:val="162A0C40"/>
    <w:rsid w:val="16FB1D46"/>
    <w:rsid w:val="18B51028"/>
    <w:rsid w:val="194B7296"/>
    <w:rsid w:val="19AD3086"/>
    <w:rsid w:val="19E33973"/>
    <w:rsid w:val="1A077A59"/>
    <w:rsid w:val="1A295205"/>
    <w:rsid w:val="1A2C607F"/>
    <w:rsid w:val="1B430B6D"/>
    <w:rsid w:val="1B6333A7"/>
    <w:rsid w:val="1B6E157A"/>
    <w:rsid w:val="1BA96EA4"/>
    <w:rsid w:val="1BC23D68"/>
    <w:rsid w:val="1C055E22"/>
    <w:rsid w:val="1C173FE9"/>
    <w:rsid w:val="1C2E35CB"/>
    <w:rsid w:val="1CB57848"/>
    <w:rsid w:val="1CF358CD"/>
    <w:rsid w:val="1D4E0B9F"/>
    <w:rsid w:val="1D5232E9"/>
    <w:rsid w:val="1DA47177"/>
    <w:rsid w:val="1E062CB9"/>
    <w:rsid w:val="1E0668B5"/>
    <w:rsid w:val="1E1E7776"/>
    <w:rsid w:val="1E261F32"/>
    <w:rsid w:val="20BC4690"/>
    <w:rsid w:val="21464F13"/>
    <w:rsid w:val="219E6AFD"/>
    <w:rsid w:val="23151041"/>
    <w:rsid w:val="232D386A"/>
    <w:rsid w:val="23D245E4"/>
    <w:rsid w:val="23E97DD8"/>
    <w:rsid w:val="241471CA"/>
    <w:rsid w:val="24857B00"/>
    <w:rsid w:val="24A217AC"/>
    <w:rsid w:val="24A3573A"/>
    <w:rsid w:val="24E405D6"/>
    <w:rsid w:val="25282153"/>
    <w:rsid w:val="252C4420"/>
    <w:rsid w:val="25301C5F"/>
    <w:rsid w:val="253F4153"/>
    <w:rsid w:val="2551032A"/>
    <w:rsid w:val="25544D4D"/>
    <w:rsid w:val="25891872"/>
    <w:rsid w:val="25AE6883"/>
    <w:rsid w:val="25BD32CA"/>
    <w:rsid w:val="25E371D4"/>
    <w:rsid w:val="260458EE"/>
    <w:rsid w:val="260B31F7"/>
    <w:rsid w:val="26127ABA"/>
    <w:rsid w:val="26186CDD"/>
    <w:rsid w:val="261C6242"/>
    <w:rsid w:val="26396DF4"/>
    <w:rsid w:val="26555BF8"/>
    <w:rsid w:val="26AD333E"/>
    <w:rsid w:val="26C32B62"/>
    <w:rsid w:val="27346113"/>
    <w:rsid w:val="27684EDE"/>
    <w:rsid w:val="278A18D2"/>
    <w:rsid w:val="27921B5C"/>
    <w:rsid w:val="27BC5F2F"/>
    <w:rsid w:val="27EE3C0E"/>
    <w:rsid w:val="28060C67"/>
    <w:rsid w:val="28B44E58"/>
    <w:rsid w:val="29272709"/>
    <w:rsid w:val="294F4B81"/>
    <w:rsid w:val="29A7790A"/>
    <w:rsid w:val="29BD7F5A"/>
    <w:rsid w:val="29CA4207"/>
    <w:rsid w:val="2A063491"/>
    <w:rsid w:val="2A885BB4"/>
    <w:rsid w:val="2A9A1E2C"/>
    <w:rsid w:val="2ADE365A"/>
    <w:rsid w:val="2B3A5D14"/>
    <w:rsid w:val="2B64045A"/>
    <w:rsid w:val="2BC5737C"/>
    <w:rsid w:val="2BD548D8"/>
    <w:rsid w:val="2C332538"/>
    <w:rsid w:val="2C8E3C12"/>
    <w:rsid w:val="2CFC2A70"/>
    <w:rsid w:val="2D050A34"/>
    <w:rsid w:val="2D1227E2"/>
    <w:rsid w:val="2D2B1556"/>
    <w:rsid w:val="2E0E2588"/>
    <w:rsid w:val="2E750BE6"/>
    <w:rsid w:val="2E9021DA"/>
    <w:rsid w:val="2E9F341C"/>
    <w:rsid w:val="2F104DB2"/>
    <w:rsid w:val="2F2F70D4"/>
    <w:rsid w:val="2FB938DC"/>
    <w:rsid w:val="2FCC7AEC"/>
    <w:rsid w:val="2FEE1A62"/>
    <w:rsid w:val="30A27C8C"/>
    <w:rsid w:val="30D15355"/>
    <w:rsid w:val="30E7514B"/>
    <w:rsid w:val="310B5831"/>
    <w:rsid w:val="31274283"/>
    <w:rsid w:val="327A62FA"/>
    <w:rsid w:val="32963820"/>
    <w:rsid w:val="32B576CA"/>
    <w:rsid w:val="33044C2E"/>
    <w:rsid w:val="33337FEF"/>
    <w:rsid w:val="33435756"/>
    <w:rsid w:val="338A1AE7"/>
    <w:rsid w:val="33A44776"/>
    <w:rsid w:val="33AD2BD0"/>
    <w:rsid w:val="33D360B3"/>
    <w:rsid w:val="33E10537"/>
    <w:rsid w:val="348E0C53"/>
    <w:rsid w:val="350B7C78"/>
    <w:rsid w:val="35217E3B"/>
    <w:rsid w:val="354626A7"/>
    <w:rsid w:val="356E70B6"/>
    <w:rsid w:val="35C83CF1"/>
    <w:rsid w:val="35D501BC"/>
    <w:rsid w:val="36712090"/>
    <w:rsid w:val="369B1405"/>
    <w:rsid w:val="36AA33F6"/>
    <w:rsid w:val="36B85FBC"/>
    <w:rsid w:val="36BC3278"/>
    <w:rsid w:val="37127723"/>
    <w:rsid w:val="376260A7"/>
    <w:rsid w:val="38174ABC"/>
    <w:rsid w:val="3825367C"/>
    <w:rsid w:val="382E2E74"/>
    <w:rsid w:val="38512DEA"/>
    <w:rsid w:val="3852626E"/>
    <w:rsid w:val="38F811E2"/>
    <w:rsid w:val="391D56A9"/>
    <w:rsid w:val="39276F80"/>
    <w:rsid w:val="3A7D2B54"/>
    <w:rsid w:val="3A8F74D3"/>
    <w:rsid w:val="3B2B1381"/>
    <w:rsid w:val="3BCD02B3"/>
    <w:rsid w:val="3C0A1909"/>
    <w:rsid w:val="3C1A2C1F"/>
    <w:rsid w:val="3C353F4A"/>
    <w:rsid w:val="3CD613E9"/>
    <w:rsid w:val="3D1912D6"/>
    <w:rsid w:val="3D93654B"/>
    <w:rsid w:val="3DE74F30"/>
    <w:rsid w:val="3F055FB6"/>
    <w:rsid w:val="3F122481"/>
    <w:rsid w:val="40024382"/>
    <w:rsid w:val="4005737C"/>
    <w:rsid w:val="400B3A02"/>
    <w:rsid w:val="40477F08"/>
    <w:rsid w:val="404928AB"/>
    <w:rsid w:val="4093139F"/>
    <w:rsid w:val="40D12A83"/>
    <w:rsid w:val="40ED3BA7"/>
    <w:rsid w:val="41792343"/>
    <w:rsid w:val="419929E5"/>
    <w:rsid w:val="41B82E6B"/>
    <w:rsid w:val="422750BD"/>
    <w:rsid w:val="42291FBB"/>
    <w:rsid w:val="428471F1"/>
    <w:rsid w:val="42BC571E"/>
    <w:rsid w:val="42F62146"/>
    <w:rsid w:val="433A1522"/>
    <w:rsid w:val="438902EA"/>
    <w:rsid w:val="43E87468"/>
    <w:rsid w:val="44A10D67"/>
    <w:rsid w:val="44C67F95"/>
    <w:rsid w:val="44F71432"/>
    <w:rsid w:val="45336CAD"/>
    <w:rsid w:val="458A0FC3"/>
    <w:rsid w:val="45BC54BB"/>
    <w:rsid w:val="46406C9A"/>
    <w:rsid w:val="46D52711"/>
    <w:rsid w:val="46DC3AA0"/>
    <w:rsid w:val="46F05FD3"/>
    <w:rsid w:val="46FE3A16"/>
    <w:rsid w:val="470A6855"/>
    <w:rsid w:val="472E597E"/>
    <w:rsid w:val="476B6BD2"/>
    <w:rsid w:val="47CF7161"/>
    <w:rsid w:val="48303B74"/>
    <w:rsid w:val="484D62D8"/>
    <w:rsid w:val="488345C4"/>
    <w:rsid w:val="48A4239B"/>
    <w:rsid w:val="48E00EFA"/>
    <w:rsid w:val="49FE1A8B"/>
    <w:rsid w:val="4A1E050C"/>
    <w:rsid w:val="4A722025"/>
    <w:rsid w:val="4A7706DB"/>
    <w:rsid w:val="4AD7381F"/>
    <w:rsid w:val="4B204964"/>
    <w:rsid w:val="4B256F34"/>
    <w:rsid w:val="4C3457E4"/>
    <w:rsid w:val="4C373527"/>
    <w:rsid w:val="4C5A3A1A"/>
    <w:rsid w:val="4CB229E2"/>
    <w:rsid w:val="4CC50080"/>
    <w:rsid w:val="4D094EC3"/>
    <w:rsid w:val="4D372C3B"/>
    <w:rsid w:val="4DA56BF6"/>
    <w:rsid w:val="4DB95442"/>
    <w:rsid w:val="4E5E4D9B"/>
    <w:rsid w:val="4EBB23F1"/>
    <w:rsid w:val="4EDB63EB"/>
    <w:rsid w:val="4F2002A2"/>
    <w:rsid w:val="4F672375"/>
    <w:rsid w:val="4F9111A0"/>
    <w:rsid w:val="4FAF7EFA"/>
    <w:rsid w:val="4FB530E0"/>
    <w:rsid w:val="50952AE4"/>
    <w:rsid w:val="50A01365"/>
    <w:rsid w:val="51053BF3"/>
    <w:rsid w:val="5119144D"/>
    <w:rsid w:val="511D718F"/>
    <w:rsid w:val="51426BF5"/>
    <w:rsid w:val="518508DF"/>
    <w:rsid w:val="51B411DC"/>
    <w:rsid w:val="51EE4687"/>
    <w:rsid w:val="5208536C"/>
    <w:rsid w:val="52514F1D"/>
    <w:rsid w:val="52770B21"/>
    <w:rsid w:val="52CF6267"/>
    <w:rsid w:val="52D715BF"/>
    <w:rsid w:val="52F061DD"/>
    <w:rsid w:val="53373E7F"/>
    <w:rsid w:val="5386726D"/>
    <w:rsid w:val="538A6632"/>
    <w:rsid w:val="539603B9"/>
    <w:rsid w:val="53B03160"/>
    <w:rsid w:val="54556C40"/>
    <w:rsid w:val="546B6463"/>
    <w:rsid w:val="547D1CF3"/>
    <w:rsid w:val="54877ACD"/>
    <w:rsid w:val="54891BE5"/>
    <w:rsid w:val="549E07CC"/>
    <w:rsid w:val="54AD6AF1"/>
    <w:rsid w:val="54EA101A"/>
    <w:rsid w:val="54FE2BCB"/>
    <w:rsid w:val="550A7A2A"/>
    <w:rsid w:val="551408A9"/>
    <w:rsid w:val="55175CA3"/>
    <w:rsid w:val="552D196B"/>
    <w:rsid w:val="55434CEA"/>
    <w:rsid w:val="558275C0"/>
    <w:rsid w:val="55BA1450"/>
    <w:rsid w:val="55D818D6"/>
    <w:rsid w:val="567B1855"/>
    <w:rsid w:val="56814E3E"/>
    <w:rsid w:val="56A86B88"/>
    <w:rsid w:val="57356B5F"/>
    <w:rsid w:val="575B6C83"/>
    <w:rsid w:val="576176AA"/>
    <w:rsid w:val="57B27F05"/>
    <w:rsid w:val="57C96FA8"/>
    <w:rsid w:val="57FE0E6E"/>
    <w:rsid w:val="5809221B"/>
    <w:rsid w:val="580D1784"/>
    <w:rsid w:val="581420D7"/>
    <w:rsid w:val="58712113"/>
    <w:rsid w:val="593516B6"/>
    <w:rsid w:val="594F0AB2"/>
    <w:rsid w:val="59875AED"/>
    <w:rsid w:val="59F75903"/>
    <w:rsid w:val="59FE51CE"/>
    <w:rsid w:val="5A663955"/>
    <w:rsid w:val="5A8E7CE3"/>
    <w:rsid w:val="5AB03F28"/>
    <w:rsid w:val="5AD45E44"/>
    <w:rsid w:val="5BEA5EBF"/>
    <w:rsid w:val="5CA40764"/>
    <w:rsid w:val="5CAA1829"/>
    <w:rsid w:val="5CF039A9"/>
    <w:rsid w:val="5D261179"/>
    <w:rsid w:val="5D267DAB"/>
    <w:rsid w:val="5D720862"/>
    <w:rsid w:val="5EE74938"/>
    <w:rsid w:val="5F301A83"/>
    <w:rsid w:val="600A2C1F"/>
    <w:rsid w:val="60431994"/>
    <w:rsid w:val="61127044"/>
    <w:rsid w:val="613F280A"/>
    <w:rsid w:val="614C566C"/>
    <w:rsid w:val="618108CF"/>
    <w:rsid w:val="61B825BC"/>
    <w:rsid w:val="61F730E4"/>
    <w:rsid w:val="6212744C"/>
    <w:rsid w:val="626C3AD2"/>
    <w:rsid w:val="62A3501A"/>
    <w:rsid w:val="639D5DF1"/>
    <w:rsid w:val="63DA3492"/>
    <w:rsid w:val="63DF35A8"/>
    <w:rsid w:val="63F61A17"/>
    <w:rsid w:val="641307EF"/>
    <w:rsid w:val="642D7291"/>
    <w:rsid w:val="644665A5"/>
    <w:rsid w:val="649A0DC1"/>
    <w:rsid w:val="6519749C"/>
    <w:rsid w:val="65832B14"/>
    <w:rsid w:val="659B176C"/>
    <w:rsid w:val="65A41C8F"/>
    <w:rsid w:val="66041D69"/>
    <w:rsid w:val="663245DA"/>
    <w:rsid w:val="66524D8D"/>
    <w:rsid w:val="66882EA5"/>
    <w:rsid w:val="6692162D"/>
    <w:rsid w:val="66B45A48"/>
    <w:rsid w:val="66B912B0"/>
    <w:rsid w:val="66C20D8F"/>
    <w:rsid w:val="674566A0"/>
    <w:rsid w:val="67AE693B"/>
    <w:rsid w:val="67D54C00"/>
    <w:rsid w:val="68091DC3"/>
    <w:rsid w:val="682E16AF"/>
    <w:rsid w:val="683D099D"/>
    <w:rsid w:val="69C45FA2"/>
    <w:rsid w:val="69C51D1A"/>
    <w:rsid w:val="6A1A2308"/>
    <w:rsid w:val="6AD2037A"/>
    <w:rsid w:val="6AFD14CE"/>
    <w:rsid w:val="6B5D0986"/>
    <w:rsid w:val="6B610780"/>
    <w:rsid w:val="6BA555E0"/>
    <w:rsid w:val="6BBD0EFB"/>
    <w:rsid w:val="6BCE3108"/>
    <w:rsid w:val="6CAB51F7"/>
    <w:rsid w:val="6D0448B3"/>
    <w:rsid w:val="6D992BE2"/>
    <w:rsid w:val="6DA668BC"/>
    <w:rsid w:val="6DF8446C"/>
    <w:rsid w:val="6DFD5F26"/>
    <w:rsid w:val="6E1119D2"/>
    <w:rsid w:val="6E445903"/>
    <w:rsid w:val="6E453871"/>
    <w:rsid w:val="6F241291"/>
    <w:rsid w:val="6FB149D1"/>
    <w:rsid w:val="6FD74555"/>
    <w:rsid w:val="6FE07D0B"/>
    <w:rsid w:val="6FE46B92"/>
    <w:rsid w:val="6FED5B27"/>
    <w:rsid w:val="7027557A"/>
    <w:rsid w:val="702E01D5"/>
    <w:rsid w:val="705979D4"/>
    <w:rsid w:val="70B462B7"/>
    <w:rsid w:val="70DF36C1"/>
    <w:rsid w:val="70FE448F"/>
    <w:rsid w:val="726829F3"/>
    <w:rsid w:val="727A7B45"/>
    <w:rsid w:val="72DA6836"/>
    <w:rsid w:val="731D3DCF"/>
    <w:rsid w:val="732E6B82"/>
    <w:rsid w:val="733F6699"/>
    <w:rsid w:val="73962032"/>
    <w:rsid w:val="73AC6CBC"/>
    <w:rsid w:val="73CC4D0D"/>
    <w:rsid w:val="744618F2"/>
    <w:rsid w:val="74471CA9"/>
    <w:rsid w:val="744F5002"/>
    <w:rsid w:val="74A278C7"/>
    <w:rsid w:val="74B310ED"/>
    <w:rsid w:val="74C5647D"/>
    <w:rsid w:val="74CA409A"/>
    <w:rsid w:val="757A2579"/>
    <w:rsid w:val="763A5C38"/>
    <w:rsid w:val="765C2C2E"/>
    <w:rsid w:val="77161E07"/>
    <w:rsid w:val="77950F7E"/>
    <w:rsid w:val="77CF0586"/>
    <w:rsid w:val="780A60E5"/>
    <w:rsid w:val="78B06145"/>
    <w:rsid w:val="78BB4A14"/>
    <w:rsid w:val="78D44A64"/>
    <w:rsid w:val="78E026CC"/>
    <w:rsid w:val="7A0C718E"/>
    <w:rsid w:val="7A3941D4"/>
    <w:rsid w:val="7A8333F9"/>
    <w:rsid w:val="7A9D6AC7"/>
    <w:rsid w:val="7AAB6E88"/>
    <w:rsid w:val="7B0F3CC0"/>
    <w:rsid w:val="7B2E0EA7"/>
    <w:rsid w:val="7BE97AEA"/>
    <w:rsid w:val="7C0B1214"/>
    <w:rsid w:val="7C2D79D7"/>
    <w:rsid w:val="7C5533D1"/>
    <w:rsid w:val="7CAF663E"/>
    <w:rsid w:val="7CB93960"/>
    <w:rsid w:val="7CBB31E9"/>
    <w:rsid w:val="7E2412AD"/>
    <w:rsid w:val="7E631DD5"/>
    <w:rsid w:val="7E683079"/>
    <w:rsid w:val="7E926217"/>
    <w:rsid w:val="7EB10D93"/>
    <w:rsid w:val="7F4C0891"/>
    <w:rsid w:val="7F954211"/>
    <w:rsid w:val="7FFC302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nhideWhenUsed="0" w:uiPriority="0" w:semiHidden="0" w:name="heading 2"/>
    <w:lsdException w:qFormat="1" w:uiPriority="9"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rPr>
  </w:style>
  <w:style w:type="paragraph" w:styleId="3">
    <w:name w:val="heading 2"/>
    <w:basedOn w:val="1"/>
    <w:next w:val="1"/>
    <w:qFormat/>
    <w:uiPriority w:val="0"/>
    <w:pPr>
      <w:spacing w:before="0" w:beforeAutospacing="1" w:after="0" w:afterAutospacing="1"/>
      <w:jc w:val="left"/>
    </w:pPr>
    <w:rPr>
      <w:rFonts w:hint="eastAsia" w:ascii="宋体" w:hAnsi="宋体" w:eastAsia="宋体" w:cs="宋体"/>
      <w:b/>
      <w:bCs/>
      <w:kern w:val="0"/>
      <w:sz w:val="36"/>
      <w:szCs w:val="36"/>
      <w:lang w:val="en-US" w:eastAsia="zh-CN"/>
    </w:rPr>
  </w:style>
  <w:style w:type="paragraph" w:styleId="4">
    <w:name w:val="heading 3"/>
    <w:basedOn w:val="1"/>
    <w:next w:val="1"/>
    <w:unhideWhenUsed/>
    <w:qFormat/>
    <w:uiPriority w:val="9"/>
    <w:pPr>
      <w:keepNext/>
      <w:keepLines/>
      <w:widowControl w:val="0"/>
      <w:spacing w:before="260" w:after="180"/>
      <w:jc w:val="both"/>
      <w:outlineLvl w:val="2"/>
    </w:pPr>
    <w:rPr>
      <w:rFonts w:ascii="Arial" w:hAnsi="Arial" w:eastAsia="Arial Unicode MS" w:cs="Arial Unicode MS"/>
      <w:b/>
      <w:bCs/>
      <w:color w:val="000000"/>
      <w:kern w:val="2"/>
      <w:sz w:val="30"/>
      <w:szCs w:val="30"/>
      <w:u w:color="000000"/>
      <w:lang w:val="en-US" w:eastAsia="zh-CN" w:bidi="ar-SA"/>
    </w:rPr>
  </w:style>
  <w:style w:type="paragraph" w:styleId="5">
    <w:name w:val="heading 4"/>
    <w:basedOn w:val="1"/>
    <w:next w:val="1"/>
    <w:qFormat/>
    <w:uiPriority w:val="0"/>
    <w:pPr>
      <w:keepNext/>
      <w:widowControl w:val="0"/>
      <w:numPr>
        <w:ilvl w:val="3"/>
        <w:numId w:val="1"/>
      </w:numPr>
      <w:spacing w:before="60" w:after="60" w:line="360" w:lineRule="auto"/>
      <w:outlineLvl w:val="3"/>
    </w:pPr>
    <w:rPr>
      <w:rFonts w:ascii="宋体" w:hAnsi="Cambria" w:eastAsia="宋体" w:cs="Times New Roman"/>
      <w:b/>
      <w:bCs/>
      <w:kern w:val="2"/>
      <w:sz w:val="28"/>
      <w:szCs w:val="28"/>
      <w:lang w:val="en-US" w:eastAsia="zh-CN" w:bidi="ar-SA"/>
    </w:rPr>
  </w:style>
  <w:style w:type="character" w:default="1" w:styleId="19">
    <w:name w:val="Default Paragraph Font"/>
    <w:semiHidden/>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styleId="6">
    <w:name w:val="Normal Indent"/>
    <w:basedOn w:val="1"/>
    <w:unhideWhenUsed/>
    <w:qFormat/>
    <w:uiPriority w:val="99"/>
    <w:pPr>
      <w:ind w:firstLine="420" w:firstLineChars="200"/>
    </w:pPr>
    <w:rPr>
      <w:rFonts w:ascii="Times New Roman" w:hAnsi="Times New Roman"/>
    </w:rPr>
  </w:style>
  <w:style w:type="paragraph" w:styleId="7">
    <w:name w:val="annotation text"/>
    <w:basedOn w:val="1"/>
    <w:qFormat/>
    <w:uiPriority w:val="0"/>
    <w:pPr>
      <w:jc w:val="left"/>
    </w:pPr>
  </w:style>
  <w:style w:type="paragraph" w:styleId="8">
    <w:name w:val="Body Text"/>
    <w:basedOn w:val="1"/>
    <w:next w:val="1"/>
    <w:semiHidden/>
    <w:qFormat/>
    <w:uiPriority w:val="0"/>
    <w:rPr>
      <w:rFonts w:ascii="宋体" w:hAnsi="宋体" w:eastAsia="宋体" w:cs="宋体"/>
      <w:sz w:val="24"/>
      <w:szCs w:val="24"/>
      <w:lang w:val="en-US" w:eastAsia="en-US" w:bidi="ar-SA"/>
    </w:rPr>
  </w:style>
  <w:style w:type="paragraph" w:styleId="9">
    <w:name w:val="Body Text Indent"/>
    <w:basedOn w:val="1"/>
    <w:next w:val="1"/>
    <w:qFormat/>
    <w:uiPriority w:val="0"/>
    <w:pPr>
      <w:spacing w:after="120"/>
      <w:ind w:left="420" w:leftChars="200"/>
    </w:pPr>
    <w:rPr>
      <w:rFonts w:ascii="Times New Roman" w:hAnsi="Times New Roman" w:eastAsia="Times New Roman"/>
      <w:kern w:val="0"/>
      <w:sz w:val="20"/>
      <w:szCs w:val="21"/>
    </w:rPr>
  </w:style>
  <w:style w:type="paragraph" w:styleId="10">
    <w:name w:val="toc 3"/>
    <w:basedOn w:val="1"/>
    <w:next w:val="1"/>
    <w:qFormat/>
    <w:uiPriority w:val="0"/>
    <w:pPr>
      <w:ind w:left="840" w:leftChars="400"/>
    </w:pPr>
  </w:style>
  <w:style w:type="paragraph" w:styleId="11">
    <w:name w:val="footer"/>
    <w:basedOn w:val="1"/>
    <w:qFormat/>
    <w:uiPriority w:val="0"/>
    <w:pPr>
      <w:tabs>
        <w:tab w:val="center" w:pos="4153"/>
        <w:tab w:val="right" w:pos="8306"/>
      </w:tabs>
      <w:snapToGrid w:val="0"/>
      <w:jc w:val="left"/>
    </w:pPr>
    <w:rPr>
      <w:sz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3">
    <w:name w:val="toc 1"/>
    <w:basedOn w:val="1"/>
    <w:next w:val="1"/>
    <w:qFormat/>
    <w:uiPriority w:val="0"/>
  </w:style>
  <w:style w:type="paragraph" w:styleId="14">
    <w:name w:val="toc 2"/>
    <w:basedOn w:val="1"/>
    <w:next w:val="1"/>
    <w:qFormat/>
    <w:uiPriority w:val="0"/>
    <w:pPr>
      <w:ind w:left="420" w:leftChars="200"/>
    </w:pPr>
  </w:style>
  <w:style w:type="paragraph" w:styleId="15">
    <w:name w:val="Body Text 2"/>
    <w:basedOn w:val="1"/>
    <w:qFormat/>
    <w:uiPriority w:val="0"/>
    <w:pPr>
      <w:spacing w:after="120" w:line="480" w:lineRule="auto"/>
    </w:pPr>
    <w:rPr>
      <w:szCs w:val="20"/>
    </w:rPr>
  </w:style>
  <w:style w:type="paragraph" w:styleId="16">
    <w:name w:val="Body Text First Indent 2"/>
    <w:basedOn w:val="9"/>
    <w:next w:val="1"/>
    <w:qFormat/>
    <w:uiPriority w:val="0"/>
    <w:pPr>
      <w:ind w:firstLine="420" w:firstLineChars="200"/>
    </w:pPr>
  </w:style>
  <w:style w:type="table" w:styleId="18">
    <w:name w:val="Table Grid"/>
    <w:basedOn w:val="17"/>
    <w:qFormat/>
    <w:uiPriority w:val="0"/>
    <w:rPr>
      <w:rFonts w:ascii="Times New Roman" w:hAnsi="Times New Roman" w:eastAsia="宋体" w:cs="Times New Roman"/>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0">
    <w:name w:val="Strong"/>
    <w:basedOn w:val="19"/>
    <w:qFormat/>
    <w:uiPriority w:val="0"/>
    <w:rPr>
      <w:b/>
    </w:rPr>
  </w:style>
  <w:style w:type="character" w:styleId="21">
    <w:name w:val="page number"/>
    <w:basedOn w:val="19"/>
    <w:qFormat/>
    <w:uiPriority w:val="0"/>
  </w:style>
  <w:style w:type="character" w:styleId="22">
    <w:name w:val="Hyperlink"/>
    <w:basedOn w:val="19"/>
    <w:qFormat/>
    <w:uiPriority w:val="0"/>
    <w:rPr>
      <w:color w:val="0000FF"/>
      <w:u w:val="single"/>
    </w:rPr>
  </w:style>
  <w:style w:type="table" w:customStyle="1" w:styleId="23">
    <w:name w:val="Table Normal"/>
    <w:semiHidden/>
    <w:unhideWhenUsed/>
    <w:qFormat/>
    <w:uiPriority w:val="0"/>
    <w:tblPr>
      <w:tblCellMar>
        <w:top w:w="0" w:type="dxa"/>
        <w:left w:w="0" w:type="dxa"/>
        <w:bottom w:w="0" w:type="dxa"/>
        <w:right w:w="0" w:type="dxa"/>
      </w:tblCellMar>
    </w:tblPr>
  </w:style>
  <w:style w:type="paragraph" w:customStyle="1" w:styleId="24">
    <w:name w:val="Table Text"/>
    <w:basedOn w:val="1"/>
    <w:semiHidden/>
    <w:qFormat/>
    <w:uiPriority w:val="0"/>
    <w:rPr>
      <w:rFonts w:ascii="宋体" w:hAnsi="宋体" w:eastAsia="宋体" w:cs="宋体"/>
      <w:sz w:val="21"/>
      <w:szCs w:val="21"/>
      <w:lang w:val="en-US" w:eastAsia="en-US" w:bidi="ar-SA"/>
    </w:rPr>
  </w:style>
  <w:style w:type="paragraph" w:customStyle="1" w:styleId="25">
    <w:name w:val="样式 黑色 首行缩进:  0.85 厘米 行距: 固定值 20 磅"/>
    <w:basedOn w:val="1"/>
    <w:qFormat/>
    <w:uiPriority w:val="0"/>
    <w:pPr>
      <w:tabs>
        <w:tab w:val="left" w:pos="8789"/>
      </w:tabs>
      <w:adjustRightInd w:val="0"/>
      <w:snapToGrid w:val="0"/>
      <w:spacing w:line="360" w:lineRule="auto"/>
      <w:ind w:right="57" w:firstLine="232" w:firstLineChars="100"/>
    </w:pPr>
    <w:rPr>
      <w:rFonts w:ascii="宋体" w:hAnsi="宋体"/>
      <w:color w:val="000000"/>
      <w:spacing w:val="-4"/>
      <w:sz w:val="24"/>
    </w:rPr>
  </w:style>
  <w:style w:type="paragraph" w:customStyle="1" w:styleId="26">
    <w:name w:val="Default"/>
    <w:autoRedefine/>
    <w:qFormat/>
    <w:uiPriority w:val="0"/>
    <w:pPr>
      <w:widowControl w:val="0"/>
      <w:autoSpaceDE w:val="0"/>
      <w:autoSpaceDN w:val="0"/>
      <w:adjustRightInd w:val="0"/>
    </w:pPr>
    <w:rPr>
      <w:rFonts w:ascii="宋体" w:hAnsi="等线" w:eastAsia="宋体" w:cs="宋体"/>
      <w:color w:val="000000"/>
      <w:sz w:val="24"/>
      <w:szCs w:val="24"/>
      <w:lang w:val="en-US" w:eastAsia="zh-CN" w:bidi="ar-SA"/>
    </w:rPr>
  </w:style>
  <w:style w:type="paragraph" w:customStyle="1" w:styleId="27">
    <w:name w:val="List Paragraph2"/>
    <w:basedOn w:val="1"/>
    <w:autoRedefine/>
    <w:qFormat/>
    <w:uiPriority w:val="99"/>
  </w:style>
  <w:style w:type="character" w:customStyle="1" w:styleId="28">
    <w:name w:val="font41"/>
    <w:basedOn w:val="19"/>
    <w:qFormat/>
    <w:uiPriority w:val="0"/>
    <w:rPr>
      <w:rFonts w:hint="eastAsia" w:ascii="宋体" w:hAnsi="宋体" w:eastAsia="宋体" w:cs="宋体"/>
      <w:color w:val="000000"/>
      <w:sz w:val="20"/>
      <w:szCs w:val="20"/>
      <w:u w:val="none"/>
    </w:rPr>
  </w:style>
  <w:style w:type="character" w:customStyle="1" w:styleId="29">
    <w:name w:val="font11"/>
    <w:basedOn w:val="19"/>
    <w:qFormat/>
    <w:uiPriority w:val="0"/>
    <w:rPr>
      <w:rFonts w:hint="eastAsia" w:ascii="仿宋" w:hAnsi="仿宋" w:eastAsia="仿宋" w:cs="仿宋"/>
      <w:b/>
      <w:bCs/>
      <w:color w:val="000000"/>
      <w:sz w:val="24"/>
      <w:szCs w:val="24"/>
      <w:u w:val="none"/>
    </w:rPr>
  </w:style>
  <w:style w:type="paragraph" w:customStyle="1" w:styleId="30">
    <w:name w:val="项目1级"/>
    <w:basedOn w:val="1"/>
    <w:qFormat/>
    <w:uiPriority w:val="0"/>
    <w:pPr>
      <w:spacing w:beforeLines="100" w:afterLines="100"/>
      <w:ind w:firstLine="0" w:firstLineChars="0"/>
      <w:jc w:val="center"/>
      <w:outlineLvl w:val="0"/>
    </w:pPr>
    <w:rPr>
      <w:rFonts w:cs="Times New Roman" w:asciiTheme="minorEastAsia" w:hAnsiTheme="minorEastAsia" w:eastAsiaTheme="minorEastAsia"/>
      <w:b/>
      <w:sz w:val="32"/>
      <w:szCs w:val="32"/>
    </w:rPr>
  </w:style>
  <w:style w:type="paragraph" w:customStyle="1" w:styleId="31">
    <w:name w:val="*正文"/>
    <w:basedOn w:val="1"/>
    <w:qFormat/>
    <w:uiPriority w:val="0"/>
    <w:rPr>
      <w:rFonts w:ascii="Times New Roman" w:hAnsi="宋体" w:cs="Times New Roman"/>
      <w:szCs w:val="24"/>
      <w:lang w:val="zh-CN" w:eastAsia="zh-CN"/>
    </w:rPr>
  </w:style>
  <w:style w:type="paragraph" w:customStyle="1" w:styleId="32">
    <w:name w:val="TOC Heading"/>
    <w:basedOn w:val="2"/>
    <w:next w:val="1"/>
    <w:unhideWhenUsed/>
    <w:qFormat/>
    <w:uiPriority w:val="39"/>
    <w:pPr>
      <w:keepNext/>
      <w:keepLines/>
      <w:widowControl/>
      <w:numPr>
        <w:ilvl w:val="0"/>
        <w:numId w:val="0"/>
      </w:numPr>
      <w:spacing w:before="240" w:after="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 w:type="paragraph" w:styleId="33">
    <w:name w:val="List Paragraph"/>
    <w:basedOn w:val="1"/>
    <w:qFormat/>
    <w:uiPriority w:val="34"/>
    <w:pPr>
      <w:ind w:firstLine="420"/>
    </w:pPr>
  </w:style>
  <w:style w:type="paragraph" w:customStyle="1" w:styleId="34">
    <w:name w:val="项目正文"/>
    <w:basedOn w:val="1"/>
    <w:qFormat/>
    <w:uiPriority w:val="0"/>
    <w:pPr>
      <w:ind w:firstLine="482" w:firstLineChars="0"/>
    </w:pPr>
    <w:rPr>
      <w:rFonts w:ascii="Times New Roman" w:hAnsi="Times New Roman" w:cs="Times New Roman"/>
      <w:szCs w:val="24"/>
    </w:rPr>
  </w:style>
  <w:style w:type="character" w:customStyle="1" w:styleId="35">
    <w:name w:val="font51"/>
    <w:basedOn w:val="19"/>
    <w:qFormat/>
    <w:uiPriority w:val="0"/>
    <w:rPr>
      <w:rFonts w:ascii="Arial" w:hAnsi="Arial" w:cs="Arial"/>
      <w:color w:val="336699"/>
      <w:sz w:val="20"/>
      <w:szCs w:val="20"/>
      <w:u w:val="none"/>
    </w:rPr>
  </w:style>
  <w:style w:type="character" w:customStyle="1" w:styleId="36">
    <w:name w:val="font61"/>
    <w:basedOn w:val="19"/>
    <w:qFormat/>
    <w:uiPriority w:val="0"/>
    <w:rPr>
      <w:rFonts w:hint="eastAsia" w:ascii="宋体" w:hAnsi="宋体" w:eastAsia="宋体" w:cs="宋体"/>
      <w:color w:val="000000"/>
      <w:sz w:val="20"/>
      <w:szCs w:val="20"/>
      <w:u w:val="none"/>
    </w:rPr>
  </w:style>
  <w:style w:type="character" w:customStyle="1" w:styleId="37">
    <w:name w:val="font31"/>
    <w:basedOn w:val="19"/>
    <w:qFormat/>
    <w:uiPriority w:val="0"/>
    <w:rPr>
      <w:rFonts w:hint="eastAsia" w:ascii="宋体" w:hAnsi="宋体" w:eastAsia="宋体" w:cs="宋体"/>
      <w:color w:val="111111"/>
      <w:sz w:val="20"/>
      <w:szCs w:val="20"/>
      <w:u w:val="none"/>
    </w:rPr>
  </w:style>
  <w:style w:type="character" w:customStyle="1" w:styleId="38">
    <w:name w:val="font81"/>
    <w:basedOn w:val="19"/>
    <w:qFormat/>
    <w:uiPriority w:val="0"/>
    <w:rPr>
      <w:rFonts w:hint="default" w:ascii="Arial" w:hAnsi="Arial" w:cs="Arial"/>
      <w:color w:val="111111"/>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1.xml"/><Relationship Id="rId6" Type="http://schemas.openxmlformats.org/officeDocument/2006/relationships/endnotes" Target="endnotes.xml"/><Relationship Id="rId5" Type="http://schemas.openxmlformats.org/officeDocument/2006/relationships/footnotes" Target="footnotes.xml"/><Relationship Id="rId4" Type="http://schemas.microsoft.com/office/2011/relationships/commentsExtended" Target="commentsExtended.xml"/><Relationship Id="rId3" Type="http://schemas.openxmlformats.org/officeDocument/2006/relationships/comments" Target="comments.xml"/><Relationship Id="rId2" Type="http://schemas.openxmlformats.org/officeDocument/2006/relationships/settings" Target="settings.xml"/><Relationship Id="rId18" Type="http://schemas.microsoft.com/office/2011/relationships/people" Target="people.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45</Pages>
  <Words>21966</Words>
  <Characters>22938</Characters>
  <TotalTime>7</TotalTime>
  <ScaleCrop>false</ScaleCrop>
  <LinksUpToDate>false</LinksUpToDate>
  <CharactersWithSpaces>23905</CharactersWithSpaces>
  <Application>WPS Office_12.1.0.26895_F1E327BC-269C-435d-A152-05C5408002CA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2017-09-05T16:00:00Z</dcterms:created>
  <dc:creator>袁静</dc:creator>
  <cp:lastModifiedBy>Bernice</cp:lastModifiedBy>
  <dcterms:modified xsi:type="dcterms:W3CDTF">2026-07-03T02:10:46Z</dcterms:modified>
  <dc:title>中华人民共和国</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2025-07-22T10:47:51Z</vt:filetime>
  </property>
  <property fmtid="{D5CDD505-2E9C-101B-9397-08002B2CF9AE}" pid="4" name="KSOTemplateDocerSaveRecord">
    <vt:lpwstr>eyJoZGlkIjoiMjEwMzc1M2I1NWVkNmU3YTk3NTFjZTFlZWYyOGY5NGIiLCJ1c2VySWQiOiIxMjM3Mjg4ODkxIn0=</vt:lpwstr>
  </property>
  <property fmtid="{D5CDD505-2E9C-101B-9397-08002B2CF9AE}" pid="5" name="KSOProductBuildVer">
    <vt:lpwstr>2052-12.1.0.26895</vt:lpwstr>
  </property>
  <property fmtid="{D5CDD505-2E9C-101B-9397-08002B2CF9AE}" pid="6" name="ICV">
    <vt:lpwstr>C0BCC8D47F574BD2B1638B1BD27DAF1E_13</vt:lpwstr>
  </property>
</Properties>
</file>