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9FB53">
      <w:pPr>
        <w:spacing w:line="352" w:lineRule="auto"/>
        <w:rPr>
          <w:rFonts w:ascii="Arial"/>
          <w:sz w:val="21"/>
          <w:highlight w:val="none"/>
        </w:rPr>
      </w:pPr>
    </w:p>
    <w:p w14:paraId="693350C9">
      <w:pPr>
        <w:spacing w:line="247" w:lineRule="auto"/>
        <w:rPr>
          <w:rFonts w:ascii="Arial"/>
          <w:sz w:val="21"/>
          <w:highlight w:val="none"/>
        </w:rPr>
      </w:pPr>
    </w:p>
    <w:p w14:paraId="0614E990">
      <w:pPr>
        <w:spacing w:line="247" w:lineRule="auto"/>
        <w:rPr>
          <w:rFonts w:ascii="Arial"/>
          <w:sz w:val="21"/>
          <w:highlight w:val="none"/>
        </w:rPr>
      </w:pPr>
    </w:p>
    <w:p w14:paraId="4845ECBF">
      <w:pPr>
        <w:spacing w:line="247" w:lineRule="auto"/>
        <w:rPr>
          <w:rFonts w:ascii="Arial"/>
          <w:sz w:val="21"/>
          <w:highlight w:val="none"/>
        </w:rPr>
      </w:pPr>
    </w:p>
    <w:p w14:paraId="1410A236">
      <w:pPr>
        <w:spacing w:line="247" w:lineRule="auto"/>
        <w:rPr>
          <w:rFonts w:ascii="Arial"/>
          <w:sz w:val="21"/>
          <w:highlight w:val="none"/>
        </w:rPr>
      </w:pPr>
    </w:p>
    <w:p w14:paraId="20870D7E">
      <w:pPr>
        <w:spacing w:line="247" w:lineRule="auto"/>
        <w:rPr>
          <w:rFonts w:ascii="Arial"/>
          <w:sz w:val="21"/>
          <w:highlight w:val="none"/>
        </w:rPr>
      </w:pPr>
    </w:p>
    <w:p w14:paraId="2F67FB77">
      <w:pPr>
        <w:spacing w:line="247" w:lineRule="auto"/>
        <w:rPr>
          <w:rFonts w:ascii="Arial"/>
          <w:sz w:val="21"/>
          <w:highlight w:val="none"/>
        </w:rPr>
      </w:pPr>
    </w:p>
    <w:p w14:paraId="6CEF21F5">
      <w:pPr>
        <w:spacing w:line="247" w:lineRule="auto"/>
        <w:rPr>
          <w:rFonts w:ascii="Arial"/>
          <w:sz w:val="21"/>
          <w:highlight w:val="none"/>
        </w:rPr>
      </w:pPr>
    </w:p>
    <w:p w14:paraId="29121AC5">
      <w:pPr>
        <w:spacing w:line="247" w:lineRule="auto"/>
        <w:rPr>
          <w:rFonts w:ascii="Arial"/>
          <w:sz w:val="21"/>
          <w:highlight w:val="none"/>
        </w:rPr>
      </w:pPr>
    </w:p>
    <w:p w14:paraId="5A1CAC3A">
      <w:pPr>
        <w:pageBreakBefore w:val="0"/>
        <w:shd w:val="clear"/>
        <w:kinsoku/>
        <w:wordWrap/>
        <w:overflowPunct/>
        <w:autoSpaceDE/>
        <w:autoSpaceDN/>
        <w:bidi w:val="0"/>
        <w:adjustRightInd w:val="0"/>
        <w:snapToGrid w:val="0"/>
        <w:spacing w:before="528" w:beforeLines="169" w:beforeAutospacing="0" w:line="360" w:lineRule="auto"/>
        <w:ind w:firstLine="2880" w:firstLineChars="400"/>
        <w:jc w:val="both"/>
        <w:textAlignment w:val="auto"/>
        <w:rPr>
          <w:rFonts w:hint="eastAsia" w:ascii="微软雅黑" w:hAnsi="微软雅黑" w:eastAsia="微软雅黑" w:cs="微软雅黑"/>
          <w:sz w:val="72"/>
          <w:szCs w:val="72"/>
          <w:highlight w:val="none"/>
        </w:rPr>
      </w:pPr>
      <w:r>
        <w:rPr>
          <w:rFonts w:hint="eastAsia" w:ascii="微软雅黑" w:hAnsi="微软雅黑" w:eastAsia="微软雅黑" w:cs="微软雅黑"/>
          <w:sz w:val="72"/>
          <w:szCs w:val="72"/>
          <w:highlight w:val="none"/>
        </w:rPr>
        <w:t>采</w:t>
      </w:r>
      <w:r>
        <w:rPr>
          <w:rFonts w:hint="eastAsia" w:ascii="微软雅黑" w:hAnsi="微软雅黑" w:eastAsia="微软雅黑" w:cs="微软雅黑"/>
          <w:sz w:val="72"/>
          <w:szCs w:val="72"/>
          <w:highlight w:val="none"/>
          <w:lang w:val="en-US" w:eastAsia="zh-CN"/>
        </w:rPr>
        <w:t xml:space="preserve"> </w:t>
      </w:r>
      <w:r>
        <w:rPr>
          <w:rFonts w:hint="eastAsia" w:ascii="微软雅黑" w:hAnsi="微软雅黑" w:eastAsia="微软雅黑" w:cs="微软雅黑"/>
          <w:sz w:val="72"/>
          <w:szCs w:val="72"/>
          <w:highlight w:val="none"/>
        </w:rPr>
        <w:t>购</w:t>
      </w:r>
      <w:r>
        <w:rPr>
          <w:rFonts w:hint="eastAsia" w:ascii="微软雅黑" w:hAnsi="微软雅黑" w:eastAsia="微软雅黑" w:cs="微软雅黑"/>
          <w:sz w:val="72"/>
          <w:szCs w:val="72"/>
          <w:highlight w:val="none"/>
          <w:lang w:val="en-US" w:eastAsia="zh-CN"/>
        </w:rPr>
        <w:t xml:space="preserve"> </w:t>
      </w:r>
      <w:r>
        <w:rPr>
          <w:rFonts w:hint="eastAsia" w:ascii="微软雅黑" w:hAnsi="微软雅黑" w:eastAsia="微软雅黑" w:cs="微软雅黑"/>
          <w:sz w:val="72"/>
          <w:szCs w:val="72"/>
          <w:highlight w:val="none"/>
        </w:rPr>
        <w:t>文</w:t>
      </w:r>
      <w:r>
        <w:rPr>
          <w:rFonts w:hint="eastAsia" w:ascii="微软雅黑" w:hAnsi="微软雅黑" w:eastAsia="微软雅黑" w:cs="微软雅黑"/>
          <w:sz w:val="72"/>
          <w:szCs w:val="72"/>
          <w:highlight w:val="none"/>
          <w:lang w:val="en-US" w:eastAsia="zh-CN"/>
        </w:rPr>
        <w:t xml:space="preserve"> </w:t>
      </w:r>
      <w:r>
        <w:rPr>
          <w:rFonts w:hint="eastAsia" w:ascii="微软雅黑" w:hAnsi="微软雅黑" w:eastAsia="微软雅黑" w:cs="微软雅黑"/>
          <w:sz w:val="72"/>
          <w:szCs w:val="72"/>
          <w:highlight w:val="none"/>
        </w:rPr>
        <w:t>件</w:t>
      </w:r>
    </w:p>
    <w:p w14:paraId="5A645656">
      <w:pPr>
        <w:pageBreakBefore w:val="0"/>
        <w:shd w:val="clear"/>
        <w:kinsoku/>
        <w:wordWrap/>
        <w:overflowPunct/>
        <w:autoSpaceDE/>
        <w:autoSpaceDN/>
        <w:bidi w:val="0"/>
        <w:adjustRightInd w:val="0"/>
        <w:snapToGrid w:val="0"/>
        <w:spacing w:line="360" w:lineRule="auto"/>
        <w:textAlignment w:val="auto"/>
        <w:rPr>
          <w:rFonts w:ascii="仿宋" w:hAnsi="仿宋" w:eastAsia="仿宋" w:cs="仿宋"/>
          <w:sz w:val="28"/>
          <w:szCs w:val="28"/>
          <w:highlight w:val="none"/>
        </w:rPr>
      </w:pPr>
    </w:p>
    <w:p w14:paraId="6197DC68">
      <w:pPr>
        <w:pageBreakBefore w:val="0"/>
        <w:shd w:val="clear"/>
        <w:kinsoku/>
        <w:wordWrap/>
        <w:overflowPunct/>
        <w:autoSpaceDE/>
        <w:autoSpaceDN/>
        <w:bidi w:val="0"/>
        <w:adjustRightInd w:val="0"/>
        <w:snapToGrid w:val="0"/>
        <w:spacing w:line="360" w:lineRule="auto"/>
        <w:textAlignment w:val="auto"/>
        <w:rPr>
          <w:rFonts w:ascii="仿宋" w:hAnsi="仿宋" w:eastAsia="仿宋" w:cs="仿宋"/>
          <w:sz w:val="28"/>
          <w:szCs w:val="28"/>
          <w:highlight w:val="none"/>
        </w:rPr>
      </w:pPr>
    </w:p>
    <w:p w14:paraId="4C39A685">
      <w:pPr>
        <w:pageBreakBefore w:val="0"/>
        <w:shd w:val="clear"/>
        <w:kinsoku/>
        <w:wordWrap/>
        <w:overflowPunct/>
        <w:autoSpaceDE/>
        <w:autoSpaceDN/>
        <w:bidi w:val="0"/>
        <w:adjustRightInd w:val="0"/>
        <w:snapToGrid w:val="0"/>
        <w:spacing w:line="360" w:lineRule="auto"/>
        <w:ind w:firstLine="560" w:firstLineChars="200"/>
        <w:textAlignment w:val="auto"/>
        <w:rPr>
          <w:rFonts w:ascii="仿宋" w:hAnsi="仿宋" w:eastAsia="仿宋" w:cs="仿宋"/>
          <w:sz w:val="28"/>
          <w:szCs w:val="28"/>
          <w:highlight w:val="none"/>
        </w:rPr>
      </w:pPr>
    </w:p>
    <w:p w14:paraId="3358F1B1">
      <w:pPr>
        <w:pageBreakBefore w:val="0"/>
        <w:shd w:val="clear"/>
        <w:kinsoku/>
        <w:wordWrap/>
        <w:overflowPunct/>
        <w:autoSpaceDE/>
        <w:autoSpaceDN/>
        <w:bidi w:val="0"/>
        <w:adjustRightInd w:val="0"/>
        <w:snapToGrid w:val="0"/>
        <w:spacing w:line="360" w:lineRule="auto"/>
        <w:ind w:firstLine="960" w:firstLineChars="3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采 购 人：青岛碧海水务有限公司</w:t>
      </w:r>
    </w:p>
    <w:p w14:paraId="676CD0DD">
      <w:pPr>
        <w:pStyle w:val="2"/>
        <w:keepNext w:val="0"/>
        <w:keepLines w:val="0"/>
        <w:widowControl/>
        <w:suppressLineNumbers w:val="0"/>
        <w:ind w:left="2570" w:hanging="2570" w:hangingChars="800"/>
        <w:jc w:val="left"/>
        <w:rPr>
          <w:rFonts w:hint="eastAsia" w:ascii="仿宋" w:hAnsi="仿宋" w:eastAsia="仿宋" w:cs="仿宋"/>
          <w:b w:val="0"/>
          <w:bCs w:val="0"/>
          <w:sz w:val="32"/>
          <w:szCs w:val="32"/>
          <w:highlight w:val="none"/>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项目名称：</w:t>
      </w:r>
      <w:r>
        <w:rPr>
          <w:rFonts w:hint="eastAsia" w:ascii="仿宋" w:hAnsi="仿宋" w:eastAsia="仿宋" w:cs="仿宋"/>
          <w:b w:val="0"/>
          <w:bCs w:val="0"/>
          <w:sz w:val="32"/>
          <w:szCs w:val="32"/>
          <w:highlight w:val="none"/>
          <w:lang w:val="en-US" w:eastAsia="zh-CN"/>
        </w:rPr>
        <w:t>两水厂电子围栏采购安装服务</w:t>
      </w:r>
    </w:p>
    <w:p w14:paraId="38BCE920">
      <w:pPr>
        <w:pageBreakBefore w:val="0"/>
        <w:shd w:val="clear"/>
        <w:kinsoku/>
        <w:wordWrap/>
        <w:overflowPunct/>
        <w:autoSpaceDE/>
        <w:autoSpaceDN/>
        <w:bidi w:val="0"/>
        <w:adjustRightInd w:val="0"/>
        <w:snapToGrid w:val="0"/>
        <w:spacing w:line="360" w:lineRule="auto"/>
        <w:ind w:firstLine="960" w:firstLineChars="300"/>
        <w:jc w:val="both"/>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项目编号：CG202608</w:t>
      </w:r>
    </w:p>
    <w:p w14:paraId="71A2F011">
      <w:pPr>
        <w:pageBreakBefore w:val="0"/>
        <w:shd w:val="clear"/>
        <w:kinsoku/>
        <w:wordWrap/>
        <w:overflowPunct/>
        <w:autoSpaceDE/>
        <w:autoSpaceDN/>
        <w:bidi w:val="0"/>
        <w:adjustRightInd w:val="0"/>
        <w:snapToGrid w:val="0"/>
        <w:spacing w:line="360" w:lineRule="auto"/>
        <w:ind w:firstLine="640" w:firstLineChars="200"/>
        <w:jc w:val="center"/>
        <w:textAlignment w:val="auto"/>
        <w:rPr>
          <w:rFonts w:ascii="仿宋" w:hAnsi="仿宋" w:eastAsia="仿宋" w:cs="仿宋"/>
          <w:sz w:val="32"/>
          <w:szCs w:val="32"/>
          <w:highlight w:val="none"/>
        </w:rPr>
      </w:pPr>
    </w:p>
    <w:p w14:paraId="48B07C6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14:paraId="5DCFAC21">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5B9DC4D6">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53220105">
      <w:pPr>
        <w:pageBreakBefore w:val="0"/>
        <w:shd w:val="clear"/>
        <w:kinsoku/>
        <w:wordWrap/>
        <w:overflowPunct/>
        <w:autoSpaceDE/>
        <w:autoSpaceDN/>
        <w:bidi w:val="0"/>
        <w:adjustRightInd w:val="0"/>
        <w:snapToGrid w:val="0"/>
        <w:spacing w:line="360" w:lineRule="auto"/>
        <w:ind w:firstLine="560" w:firstLineChars="200"/>
        <w:textAlignment w:val="auto"/>
        <w:rPr>
          <w:rFonts w:ascii="仿宋" w:hAnsi="仿宋" w:eastAsia="仿宋" w:cs="仿宋"/>
          <w:sz w:val="28"/>
          <w:szCs w:val="28"/>
          <w:highlight w:val="none"/>
        </w:rPr>
      </w:pPr>
    </w:p>
    <w:p w14:paraId="137BE08A">
      <w:pPr>
        <w:pageBreakBefore w:val="0"/>
        <w:shd w:val="clear"/>
        <w:kinsoku/>
        <w:wordWrap/>
        <w:overflowPunct/>
        <w:autoSpaceDE/>
        <w:autoSpaceDN/>
        <w:bidi w:val="0"/>
        <w:adjustRightInd w:val="0"/>
        <w:snapToGrid w:val="0"/>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15日</w:t>
      </w:r>
    </w:p>
    <w:p w14:paraId="6A3978C3">
      <w:pPr>
        <w:spacing w:line="247" w:lineRule="auto"/>
        <w:rPr>
          <w:rFonts w:ascii="Arial"/>
          <w:sz w:val="21"/>
          <w:highlight w:val="none"/>
        </w:rPr>
      </w:pPr>
    </w:p>
    <w:p w14:paraId="7977A567">
      <w:pPr>
        <w:spacing w:line="247" w:lineRule="auto"/>
        <w:rPr>
          <w:rFonts w:ascii="Arial"/>
          <w:sz w:val="21"/>
          <w:highlight w:val="none"/>
        </w:rPr>
      </w:pPr>
    </w:p>
    <w:p w14:paraId="636A16C9">
      <w:pPr>
        <w:spacing w:line="247" w:lineRule="auto"/>
        <w:rPr>
          <w:rFonts w:ascii="Arial"/>
          <w:sz w:val="32"/>
          <w:szCs w:val="32"/>
          <w:highlight w:val="none"/>
        </w:rPr>
      </w:pPr>
    </w:p>
    <w:p w14:paraId="5CDAFEB0">
      <w:pPr>
        <w:pageBreakBefore w:val="0"/>
        <w:shd w:val="clear"/>
        <w:kinsoku/>
        <w:wordWrap/>
        <w:overflowPunct/>
        <w:autoSpaceDE/>
        <w:autoSpaceDN/>
        <w:bidi w:val="0"/>
        <w:adjustRightInd w:val="0"/>
        <w:snapToGrid w:val="0"/>
        <w:spacing w:line="360" w:lineRule="auto"/>
        <w:ind w:firstLine="723" w:firstLineChars="200"/>
        <w:jc w:val="center"/>
        <w:textAlignment w:val="auto"/>
        <w:rPr>
          <w:rFonts w:hint="eastAsia" w:ascii="仿宋" w:hAnsi="仿宋" w:eastAsia="仿宋" w:cs="仿宋"/>
          <w:b/>
          <w:bCs/>
          <w:sz w:val="36"/>
          <w:szCs w:val="36"/>
          <w:highlight w:val="none"/>
        </w:rPr>
      </w:pPr>
      <w:bookmarkStart w:id="0" w:name="_Toc20199"/>
    </w:p>
    <w:p w14:paraId="0B3B366C">
      <w:pPr>
        <w:pageBreakBefore w:val="0"/>
        <w:shd w:val="clear"/>
        <w:kinsoku/>
        <w:wordWrap/>
        <w:overflowPunct/>
        <w:autoSpaceDE/>
        <w:autoSpaceDN/>
        <w:bidi w:val="0"/>
        <w:adjustRightInd w:val="0"/>
        <w:snapToGrid w:val="0"/>
        <w:spacing w:line="360" w:lineRule="auto"/>
        <w:ind w:firstLine="3614" w:firstLineChars="1000"/>
        <w:jc w:val="both"/>
        <w:textAlignment w:val="auto"/>
        <w:rPr>
          <w:rFonts w:hint="eastAsia" w:ascii="仿宋" w:hAnsi="仿宋" w:eastAsia="仿宋" w:cs="仿宋"/>
          <w:sz w:val="36"/>
          <w:szCs w:val="36"/>
          <w:highlight w:val="none"/>
          <w:u w:val="single"/>
        </w:rPr>
      </w:pPr>
      <w:r>
        <w:rPr>
          <w:rFonts w:hint="eastAsia" w:ascii="仿宋" w:hAnsi="仿宋" w:eastAsia="仿宋" w:cs="仿宋"/>
          <w:b/>
          <w:bCs/>
          <w:sz w:val="36"/>
          <w:szCs w:val="36"/>
          <w:highlight w:val="none"/>
        </w:rPr>
        <w:t xml:space="preserve">第一章 </w:t>
      </w:r>
      <w:r>
        <w:rPr>
          <w:rFonts w:hint="eastAsia" w:ascii="仿宋" w:hAnsi="仿宋" w:eastAsia="仿宋" w:cs="仿宋"/>
          <w:b/>
          <w:bCs/>
          <w:sz w:val="36"/>
          <w:szCs w:val="36"/>
          <w:highlight w:val="none"/>
          <w:lang w:val="en-US" w:eastAsia="zh-CN"/>
        </w:rPr>
        <w:t>询 价 函</w:t>
      </w:r>
    </w:p>
    <w:p w14:paraId="77037015">
      <w:pPr>
        <w:pStyle w:val="2"/>
        <w:keepNext w:val="0"/>
        <w:keepLines w:val="0"/>
        <w:widowControl/>
        <w:suppressLineNumbers w:val="0"/>
        <w:spacing w:line="360" w:lineRule="auto"/>
        <w:ind w:firstLine="562" w:firstLineChars="2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我公司就</w:t>
      </w:r>
      <w:r>
        <w:rPr>
          <w:rFonts w:hint="eastAsia" w:ascii="仿宋" w:hAnsi="仿宋" w:eastAsia="仿宋" w:cs="仿宋"/>
          <w:b w:val="0"/>
          <w:bCs w:val="0"/>
          <w:sz w:val="28"/>
          <w:szCs w:val="28"/>
          <w:highlight w:val="none"/>
          <w:u w:val="single"/>
          <w:lang w:val="en-US" w:eastAsia="zh-CN"/>
        </w:rPr>
        <w:t>两水厂电子围栏采购安装服务</w:t>
      </w:r>
      <w:r>
        <w:rPr>
          <w:rFonts w:hint="eastAsia" w:ascii="仿宋" w:hAnsi="仿宋" w:eastAsia="仿宋" w:cs="仿宋"/>
          <w:sz w:val="28"/>
          <w:szCs w:val="28"/>
          <w:highlight w:val="none"/>
        </w:rPr>
        <w:t>以</w:t>
      </w:r>
      <w:r>
        <w:rPr>
          <w:rFonts w:hint="eastAsia" w:ascii="仿宋" w:hAnsi="仿宋" w:eastAsia="仿宋" w:cs="仿宋"/>
          <w:sz w:val="28"/>
          <w:szCs w:val="28"/>
          <w:highlight w:val="none"/>
          <w:lang w:val="en-US" w:eastAsia="zh-CN"/>
        </w:rPr>
        <w:t>公开询比</w:t>
      </w:r>
      <w:r>
        <w:rPr>
          <w:rFonts w:hint="eastAsia" w:ascii="仿宋" w:hAnsi="仿宋" w:eastAsia="仿宋" w:cs="仿宋"/>
          <w:sz w:val="28"/>
          <w:szCs w:val="28"/>
          <w:highlight w:val="none"/>
        </w:rPr>
        <w:t>方式组织采购，欢迎</w:t>
      </w:r>
      <w:r>
        <w:rPr>
          <w:rFonts w:hint="eastAsia" w:ascii="仿宋" w:hAnsi="仿宋" w:eastAsia="仿宋" w:cs="仿宋"/>
          <w:sz w:val="28"/>
          <w:szCs w:val="28"/>
          <w:highlight w:val="none"/>
          <w:lang w:val="en-US" w:eastAsia="zh-CN"/>
        </w:rPr>
        <w:t>符合条件的各单位</w:t>
      </w:r>
      <w:r>
        <w:rPr>
          <w:rFonts w:hint="eastAsia" w:ascii="仿宋" w:hAnsi="仿宋" w:eastAsia="仿宋" w:cs="仿宋"/>
          <w:sz w:val="28"/>
          <w:szCs w:val="28"/>
          <w:highlight w:val="none"/>
        </w:rPr>
        <w:t>参加报价。</w:t>
      </w:r>
    </w:p>
    <w:p w14:paraId="1BF4FDB1">
      <w:pPr>
        <w:pageBreakBefore w:val="0"/>
        <w:numPr>
          <w:ilvl w:val="0"/>
          <w:numId w:val="2"/>
        </w:numPr>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项目名称：</w:t>
      </w:r>
      <w:r>
        <w:rPr>
          <w:rFonts w:hint="eastAsia" w:ascii="仿宋" w:hAnsi="仿宋" w:eastAsia="仿宋" w:cs="仿宋"/>
          <w:b w:val="0"/>
          <w:bCs w:val="0"/>
          <w:sz w:val="28"/>
          <w:szCs w:val="28"/>
          <w:highlight w:val="none"/>
          <w:u w:val="single"/>
          <w:lang w:val="en-US" w:eastAsia="zh-CN"/>
        </w:rPr>
        <w:t>两水厂电子围栏采购安装服务</w:t>
      </w:r>
    </w:p>
    <w:p w14:paraId="3E8B4A3D">
      <w:pPr>
        <w:pageBreakBefore w:val="0"/>
        <w:numPr>
          <w:ilvl w:val="0"/>
          <w:numId w:val="2"/>
        </w:numPr>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项目地点：管家楼水厂、红石崖水厂</w:t>
      </w:r>
    </w:p>
    <w:p w14:paraId="15AA263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三、采购方式：</w:t>
      </w:r>
      <w:r>
        <w:rPr>
          <w:rFonts w:hint="eastAsia" w:ascii="仿宋" w:hAnsi="仿宋" w:eastAsia="仿宋" w:cs="仿宋"/>
          <w:sz w:val="28"/>
          <w:szCs w:val="28"/>
          <w:highlight w:val="none"/>
          <w:lang w:val="en-US" w:eastAsia="zh-CN"/>
        </w:rPr>
        <w:t>询比</w:t>
      </w:r>
      <w:r>
        <w:rPr>
          <w:rFonts w:hint="eastAsia" w:ascii="仿宋" w:hAnsi="仿宋" w:eastAsia="仿宋" w:cs="仿宋"/>
          <w:sz w:val="28"/>
          <w:szCs w:val="28"/>
          <w:highlight w:val="none"/>
        </w:rPr>
        <w:t>采购</w:t>
      </w:r>
    </w:p>
    <w:p w14:paraId="409981B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四、定标方式：</w:t>
      </w:r>
      <w:r>
        <w:rPr>
          <w:rFonts w:hint="eastAsia" w:ascii="仿宋" w:hAnsi="仿宋" w:eastAsia="仿宋" w:cs="仿宋"/>
          <w:sz w:val="28"/>
          <w:szCs w:val="28"/>
          <w:highlight w:val="none"/>
          <w:lang w:val="en-US" w:eastAsia="zh-CN"/>
        </w:rPr>
        <w:t>完全响应全部询价条件且评分最高者成交</w:t>
      </w:r>
    </w:p>
    <w:p w14:paraId="4D66F15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五、</w:t>
      </w:r>
      <w:r>
        <w:rPr>
          <w:rFonts w:hint="eastAsia" w:ascii="仿宋" w:hAnsi="仿宋" w:eastAsia="仿宋" w:cs="仿宋"/>
          <w:b w:val="0"/>
          <w:bCs w:val="0"/>
          <w:sz w:val="28"/>
          <w:szCs w:val="28"/>
          <w:highlight w:val="none"/>
          <w:lang w:val="en-US" w:eastAsia="zh-CN"/>
        </w:rPr>
        <w:t>合同主要条款</w:t>
      </w:r>
      <w:r>
        <w:rPr>
          <w:rFonts w:hint="eastAsia" w:ascii="仿宋" w:hAnsi="仿宋" w:eastAsia="仿宋" w:cs="仿宋"/>
          <w:b w:val="0"/>
          <w:bCs w:val="0"/>
          <w:sz w:val="28"/>
          <w:szCs w:val="28"/>
          <w:highlight w:val="none"/>
        </w:rPr>
        <w:t>：</w:t>
      </w:r>
    </w:p>
    <w:p w14:paraId="462D196D">
      <w:pPr>
        <w:pStyle w:val="32"/>
        <w:numPr>
          <w:ilvl w:val="0"/>
          <w:numId w:val="0"/>
        </w:numPr>
        <w:ind w:leftChars="0" w:firstLine="560" w:firstLineChars="200"/>
        <w:rPr>
          <w:rFonts w:hint="eastAsia" w:ascii="仿宋" w:hAnsi="仿宋" w:eastAsia="仿宋" w:cs="仿宋"/>
          <w:kern w:val="0"/>
          <w:sz w:val="28"/>
          <w:szCs w:val="28"/>
          <w:highlight w:val="none"/>
          <w:lang w:val="en-US" w:eastAsia="zh-CN"/>
        </w:rPr>
      </w:pPr>
      <w:r>
        <w:rPr>
          <w:rFonts w:hint="eastAsia" w:ascii="仿宋" w:hAnsi="仿宋" w:eastAsia="仿宋" w:cs="仿宋"/>
          <w:sz w:val="28"/>
          <w:szCs w:val="28"/>
          <w:highlight w:val="none"/>
          <w:vertAlign w:val="baseline"/>
          <w:lang w:val="en-US" w:eastAsia="zh-CN"/>
        </w:rPr>
        <w:t>1.采购</w:t>
      </w:r>
      <w:r>
        <w:rPr>
          <w:rFonts w:hint="eastAsia" w:ascii="仿宋" w:hAnsi="仿宋" w:eastAsia="仿宋" w:cs="仿宋"/>
          <w:kern w:val="0"/>
          <w:sz w:val="28"/>
          <w:szCs w:val="28"/>
          <w:highlight w:val="none"/>
          <w:lang w:val="en-US" w:eastAsia="zh-CN"/>
        </w:rPr>
        <w:t>范围：（1）要求实现的功能：</w:t>
      </w:r>
      <w:r>
        <w:rPr>
          <w:rFonts w:hint="eastAsia" w:ascii="仿宋" w:hAnsi="仿宋" w:eastAsia="仿宋" w:cs="仿宋"/>
          <w:b/>
          <w:bCs/>
          <w:sz w:val="28"/>
          <w:szCs w:val="28"/>
          <w:highlight w:val="none"/>
          <w:shd w:val="clear" w:color="auto" w:fill="FFFFFF"/>
          <w:lang w:val="en-US" w:eastAsia="zh-CN"/>
        </w:rPr>
        <w:t>对标反恐达标标准</w:t>
      </w:r>
      <w:r>
        <w:rPr>
          <w:rFonts w:hint="eastAsia" w:ascii="仿宋" w:hAnsi="仿宋" w:eastAsia="仿宋" w:cs="仿宋"/>
          <w:b/>
          <w:bCs/>
          <w:sz w:val="28"/>
          <w:szCs w:val="28"/>
          <w:highlight w:val="none"/>
          <w:shd w:val="clear" w:color="auto" w:fill="FFFFFF"/>
          <w:lang w:val="en-US" w:eastAsia="zh-CN"/>
        </w:rPr>
        <w:t>（</w:t>
      </w:r>
      <w:r>
        <w:rPr>
          <w:rFonts w:hint="eastAsia" w:ascii="仿宋_GB2312" w:hAnsi="仿宋_GB2312" w:eastAsia="仿宋_GB2312" w:cs="仿宋_GB2312"/>
          <w:sz w:val="30"/>
          <w:szCs w:val="30"/>
          <w:highlight w:val="none"/>
        </w:rPr>
        <w:t>《城市供水系统反恐怖防范要求》</w:t>
      </w:r>
      <w:r>
        <w:rPr>
          <w:rFonts w:hint="eastAsia" w:ascii="仿宋_GB2312" w:hAnsi="仿宋_GB2312" w:eastAsia="仿宋_GB2312" w:cs="仿宋_GB2312"/>
          <w:sz w:val="30"/>
          <w:szCs w:val="30"/>
          <w:highlight w:val="none"/>
          <w:lang w:eastAsia="zh-CN"/>
        </w:rPr>
        <w:t>（GA 1809-2022）</w:t>
      </w:r>
      <w:r>
        <w:rPr>
          <w:rFonts w:hint="eastAsia" w:ascii="仿宋" w:hAnsi="仿宋" w:eastAsia="仿宋" w:cs="仿宋"/>
          <w:b/>
          <w:bCs/>
          <w:sz w:val="28"/>
          <w:szCs w:val="28"/>
          <w:highlight w:val="none"/>
          <w:shd w:val="clear" w:color="auto" w:fill="FFFFFF"/>
          <w:lang w:val="en-US" w:eastAsia="zh-CN"/>
        </w:rPr>
        <w:t>）</w:t>
      </w:r>
      <w:r>
        <w:rPr>
          <w:rFonts w:hint="eastAsia" w:ascii="仿宋" w:hAnsi="仿宋" w:eastAsia="仿宋" w:cs="仿宋"/>
          <w:b/>
          <w:bCs/>
          <w:sz w:val="28"/>
          <w:szCs w:val="28"/>
          <w:highlight w:val="none"/>
          <w:shd w:val="clear" w:color="auto" w:fill="FFFFFF"/>
          <w:lang w:val="en-US" w:eastAsia="zh-CN"/>
        </w:rPr>
        <w:t>，</w:t>
      </w:r>
      <w:r>
        <w:rPr>
          <w:rFonts w:hint="eastAsia" w:ascii="仿宋" w:hAnsi="仿宋" w:eastAsia="仿宋" w:cs="仿宋"/>
          <w:b/>
          <w:bCs/>
          <w:kern w:val="2"/>
          <w:sz w:val="28"/>
          <w:szCs w:val="28"/>
          <w:highlight w:val="none"/>
          <w:shd w:val="clear" w:color="auto" w:fill="FFFFFF"/>
          <w:lang w:val="en-US" w:eastAsia="zh-CN" w:bidi="ar-SA"/>
        </w:rPr>
        <w:t>实现以“强化周界主动防御、构建智能安防中枢”为核心目标，提升水厂安防能力：一是部署周界电子围栏系统，严格遵循《脉冲电子围栏及其安装和安全运行》（GA/T 367-2019）标准，沿主厂区周界布设脉冲电子围栏，按每100米划分独立防区，具有物理屏障、主动反击、延迟入侵、准确报警、安全防护等特性。二是部署集成AI视觉识别的智慧安防管理平台，具备以下功能：设备管理（统一纳管）、周界管理（电子围栏与入侵报警）、视频监控（实时调阅、云台控制、录像回溯）、智能报警（区域入侵、不安全行为、安全隐患等）、数据分析（安防事件统计与洞察）、门禁管理及数据分析，实现“统一管理、智能分析、数据驱动”的安防中枢，支撑反恐达标与标准化运营。</w:t>
      </w:r>
      <w:r>
        <w:rPr>
          <w:rFonts w:hint="eastAsia" w:ascii="仿宋" w:hAnsi="仿宋" w:eastAsia="仿宋" w:cs="仿宋"/>
          <w:b/>
          <w:bCs/>
          <w:kern w:val="2"/>
          <w:sz w:val="28"/>
          <w:szCs w:val="28"/>
          <w:highlight w:val="none"/>
          <w:shd w:val="clear" w:color="auto" w:fill="FFFFFF"/>
          <w:lang w:val="en-US" w:eastAsia="zh-CN" w:bidi="ar-SA"/>
        </w:rPr>
        <w:t>详细采购内容和技术标准见“第三章 技术标准、要求及采购清单”</w:t>
      </w:r>
    </w:p>
    <w:p w14:paraId="08256CEB">
      <w:pPr>
        <w:pStyle w:val="32"/>
        <w:numPr>
          <w:ilvl w:val="0"/>
          <w:numId w:val="0"/>
        </w:numPr>
        <w:ind w:leftChars="0" w:firstLine="560" w:firstLineChars="200"/>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（2）具体采购范围：本项目为交钥匙工程，投标人需承担全部工作内容，包括但不限于：</w:t>
      </w:r>
    </w:p>
    <w:p w14:paraId="3F3558A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①方案深化设计：根据原有设备参数、现场条件及“第三章 技术标准、要求及采购清单”中的功能要求，深化设计两水厂电子围栏和智慧安防系统安装实施方案，</w:t>
      </w:r>
      <w:r>
        <w:rPr>
          <w:rFonts w:hint="eastAsia" w:ascii="仿宋" w:hAnsi="仿宋" w:eastAsia="仿宋" w:cs="仿宋"/>
          <w:b/>
          <w:bCs/>
          <w:kern w:val="0"/>
          <w:sz w:val="28"/>
          <w:szCs w:val="28"/>
          <w:highlight w:val="none"/>
          <w:lang w:val="en-US" w:eastAsia="zh-CN"/>
        </w:rPr>
        <w:t>并在完工后出具最终的竣工图纸、使用操作说明书；</w:t>
      </w:r>
    </w:p>
    <w:p w14:paraId="12F3A49B">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②设备、软件供应：提供符合设计要求及国家相关标准的电子围栏和智慧安防系统，确保设备规格、参数与“第三章 技术标准、要求及采购清单”一致；</w:t>
      </w:r>
    </w:p>
    <w:p w14:paraId="18E52FEC">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③安装施工：负责采购清单内所有设备和软件的设计安装（含甲供材设备），确保安全文明施工；</w:t>
      </w:r>
    </w:p>
    <w:p w14:paraId="2CED51E6">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④现场调试：完成设备调试，确保各项性能指标达标；</w:t>
      </w:r>
    </w:p>
    <w:p w14:paraId="72B0B82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⑤对接验收：负责协助甲方做好西海岸新区反恐部门的相关验收手续（若甲方需要）等；</w:t>
      </w:r>
      <w:bookmarkStart w:id="111" w:name="_GoBack"/>
      <w:bookmarkEnd w:id="111"/>
    </w:p>
    <w:p w14:paraId="50D41C32">
      <w:pPr>
        <w:pageBreakBefore w:val="0"/>
        <w:shd w:val="clear"/>
        <w:kinsoku/>
        <w:wordWrap/>
        <w:overflowPunct/>
        <w:autoSpaceDE/>
        <w:autoSpaceDN/>
        <w:bidi w:val="0"/>
        <w:adjustRightInd w:val="0"/>
        <w:snapToGrid w:val="0"/>
        <w:spacing w:line="360" w:lineRule="auto"/>
        <w:ind w:firstLine="560" w:firstLineChars="200"/>
        <w:textAlignment w:val="auto"/>
        <w:rPr>
          <w:rFonts w:hint="default"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⑥售后服务：提供质保期内及质保期后的技术支持与维修保养服务。</w:t>
      </w:r>
    </w:p>
    <w:p w14:paraId="25705D15">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3.本项目总控制价人民币477351.8元（含税），大写人民币肆拾柒万柒仟叁佰伍拾壹元捌角整，各设备控制单价及技术标准要求详见“第三章 技术标准、要求及采购清单”。</w:t>
      </w:r>
    </w:p>
    <w:p w14:paraId="582A7526">
      <w:pPr>
        <w:keepNext w:val="0"/>
        <w:keepLines w:val="0"/>
        <w:widowControl/>
        <w:numPr>
          <w:ilvl w:val="0"/>
          <w:numId w:val="0"/>
        </w:numPr>
        <w:suppressLineNumbers w:val="0"/>
        <w:spacing w:line="360" w:lineRule="auto"/>
        <w:ind w:firstLine="560" w:firstLineChars="200"/>
        <w:jc w:val="left"/>
        <w:textAlignment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vertAlign w:val="baseline"/>
          <w:lang w:val="en-US" w:eastAsia="zh-CN"/>
        </w:rPr>
        <w:t>4.报价要求：</w:t>
      </w:r>
      <w:r>
        <w:rPr>
          <w:rFonts w:hint="eastAsia" w:ascii="仿宋" w:hAnsi="仿宋" w:eastAsia="仿宋" w:cs="仿宋"/>
          <w:b/>
          <w:bCs/>
          <w:sz w:val="28"/>
          <w:szCs w:val="28"/>
          <w:highlight w:val="none"/>
          <w:lang w:val="en-US" w:eastAsia="zh-CN"/>
        </w:rPr>
        <w:t>总报价必须低于总控制价，所有单价必须低于控制单价，不得更改采购清单中的技术参数和数量，否则报价无效。</w:t>
      </w:r>
      <w:r>
        <w:rPr>
          <w:rFonts w:hint="eastAsia" w:ascii="仿宋" w:hAnsi="仿宋" w:eastAsia="仿宋" w:cs="仿宋"/>
          <w:spacing w:val="-2"/>
          <w:sz w:val="28"/>
          <w:szCs w:val="28"/>
          <w:highlight w:val="none"/>
          <w:lang w:val="en-US" w:eastAsia="zh-CN"/>
        </w:rPr>
        <w:t>投标</w:t>
      </w:r>
      <w:r>
        <w:rPr>
          <w:rFonts w:hint="eastAsia" w:ascii="仿宋" w:hAnsi="仿宋" w:eastAsia="仿宋" w:cs="仿宋"/>
          <w:spacing w:val="-2"/>
          <w:sz w:val="28"/>
          <w:szCs w:val="28"/>
          <w:highlight w:val="none"/>
        </w:rPr>
        <w:t>报价包括但不限于</w:t>
      </w:r>
      <w:r>
        <w:rPr>
          <w:rFonts w:hint="eastAsia" w:ascii="仿宋" w:hAnsi="仿宋" w:eastAsia="仿宋" w:cs="仿宋"/>
          <w:spacing w:val="-2"/>
          <w:sz w:val="28"/>
          <w:szCs w:val="28"/>
          <w:highlight w:val="none"/>
          <w:lang w:val="en-US" w:eastAsia="zh-CN"/>
        </w:rPr>
        <w:t>完成采购清单及上述采购范围</w:t>
      </w:r>
      <w:r>
        <w:rPr>
          <w:rFonts w:hint="eastAsia" w:ascii="仿宋" w:hAnsi="仿宋" w:eastAsia="仿宋" w:cs="仿宋"/>
          <w:b/>
          <w:bCs/>
          <w:spacing w:val="-2"/>
          <w:sz w:val="28"/>
          <w:szCs w:val="28"/>
          <w:highlight w:val="none"/>
          <w:lang w:val="en-US" w:eastAsia="zh-CN"/>
        </w:rPr>
        <w:t>（含甲供材安装）</w:t>
      </w:r>
      <w:r>
        <w:rPr>
          <w:rFonts w:hint="eastAsia" w:ascii="仿宋" w:hAnsi="仿宋" w:eastAsia="仿宋" w:cs="仿宋"/>
          <w:spacing w:val="-2"/>
          <w:sz w:val="28"/>
          <w:szCs w:val="28"/>
          <w:highlight w:val="none"/>
          <w:lang w:val="en-US" w:eastAsia="zh-CN"/>
        </w:rPr>
        <w:t>所需</w:t>
      </w:r>
      <w:r>
        <w:rPr>
          <w:rFonts w:hint="eastAsia" w:ascii="仿宋" w:hAnsi="仿宋" w:eastAsia="仿宋" w:cs="仿宋"/>
          <w:spacing w:val="-2"/>
          <w:sz w:val="28"/>
          <w:szCs w:val="28"/>
          <w:highlight w:val="none"/>
        </w:rPr>
        <w:t>的</w:t>
      </w:r>
      <w:r>
        <w:rPr>
          <w:rFonts w:hint="eastAsia" w:ascii="仿宋" w:hAnsi="仿宋" w:eastAsia="仿宋" w:cs="仿宋"/>
          <w:spacing w:val="-2"/>
          <w:sz w:val="28"/>
          <w:szCs w:val="28"/>
          <w:highlight w:val="none"/>
          <w:lang w:val="en-US" w:eastAsia="zh-CN"/>
        </w:rPr>
        <w:t>所有</w:t>
      </w:r>
      <w:r>
        <w:rPr>
          <w:rFonts w:hint="eastAsia" w:ascii="仿宋" w:hAnsi="仿宋" w:eastAsia="仿宋" w:cs="仿宋"/>
          <w:w w:val="95"/>
          <w:sz w:val="28"/>
          <w:szCs w:val="28"/>
          <w:highlight w:val="none"/>
          <w:lang w:val="zh-CN" w:bidi="zh-CN"/>
        </w:rPr>
        <w:t>材料费、</w:t>
      </w:r>
      <w:r>
        <w:rPr>
          <w:rFonts w:hint="eastAsia" w:ascii="仿宋" w:hAnsi="仿宋" w:eastAsia="仿宋" w:cs="仿宋"/>
          <w:w w:val="95"/>
          <w:sz w:val="28"/>
          <w:szCs w:val="28"/>
          <w:highlight w:val="none"/>
          <w:lang w:val="en-US" w:bidi="zh-CN"/>
        </w:rPr>
        <w:t>设备费、</w:t>
      </w:r>
      <w:r>
        <w:rPr>
          <w:rFonts w:hint="eastAsia" w:ascii="仿宋" w:hAnsi="仿宋" w:eastAsia="仿宋" w:cs="仿宋"/>
          <w:w w:val="95"/>
          <w:sz w:val="28"/>
          <w:szCs w:val="28"/>
          <w:highlight w:val="none"/>
          <w:lang w:val="zh-CN" w:bidi="zh-CN"/>
        </w:rPr>
        <w:t>人工费、管理费、保险费、包装费、装卸费、运输费、</w:t>
      </w:r>
      <w:r>
        <w:rPr>
          <w:rFonts w:hint="eastAsia" w:ascii="仿宋" w:hAnsi="仿宋" w:eastAsia="仿宋" w:cs="仿宋"/>
          <w:w w:val="95"/>
          <w:sz w:val="28"/>
          <w:szCs w:val="28"/>
          <w:highlight w:val="none"/>
          <w:lang w:val="en-US" w:bidi="zh-CN"/>
        </w:rPr>
        <w:t>调试</w:t>
      </w:r>
      <w:r>
        <w:rPr>
          <w:rFonts w:hint="eastAsia" w:ascii="仿宋" w:hAnsi="仿宋" w:eastAsia="仿宋" w:cs="仿宋"/>
          <w:w w:val="95"/>
          <w:sz w:val="28"/>
          <w:szCs w:val="28"/>
          <w:highlight w:val="none"/>
          <w:lang w:val="zh-CN" w:bidi="zh-CN"/>
        </w:rPr>
        <w:t>费、税金、利润等。</w:t>
      </w:r>
    </w:p>
    <w:p w14:paraId="2C2D9D0F">
      <w:pPr>
        <w:keepNext w:val="0"/>
        <w:keepLines w:val="0"/>
        <w:widowControl/>
        <w:numPr>
          <w:ilvl w:val="0"/>
          <w:numId w:val="0"/>
        </w:numPr>
        <w:suppressLineNumbers w:val="0"/>
        <w:spacing w:line="360" w:lineRule="auto"/>
        <w:ind w:firstLine="534" w:firstLineChars="200"/>
        <w:jc w:val="left"/>
        <w:textAlignment w:val="center"/>
        <w:rPr>
          <w:rFonts w:hint="eastAsia" w:ascii="仿宋" w:hAnsi="仿宋" w:eastAsia="仿宋" w:cs="仿宋"/>
          <w:sz w:val="28"/>
          <w:szCs w:val="28"/>
          <w:highlight w:val="none"/>
          <w:lang w:val="en-US" w:eastAsia="zh-CN"/>
        </w:rPr>
      </w:pPr>
      <w:r>
        <w:rPr>
          <w:rFonts w:hint="eastAsia" w:ascii="仿宋" w:hAnsi="仿宋" w:eastAsia="仿宋" w:cs="仿宋"/>
          <w:b/>
          <w:bCs/>
          <w:w w:val="95"/>
          <w:sz w:val="28"/>
          <w:szCs w:val="28"/>
          <w:highlight w:val="none"/>
          <w:lang w:val="en-US" w:bidi="zh-CN"/>
        </w:rPr>
        <w:t>5.成交后，成交供应商所报单价即为成交价，列入合同清单，数量暂定，完工后由甲乙双方据实结算。</w:t>
      </w:r>
    </w:p>
    <w:p w14:paraId="36DCBA11">
      <w:pPr>
        <w:pStyle w:val="8"/>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6.质保期：质保2年，2年内因质量问题引起的故障均由成交供应商免费维修，且维修产生的运费等均由成交供应商承担。</w:t>
      </w:r>
    </w:p>
    <w:p w14:paraId="35D9E3A8">
      <w:pPr>
        <w:pStyle w:val="8"/>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7.付款条件：</w:t>
      </w:r>
      <w:r>
        <w:rPr>
          <w:highlight w:val="none"/>
        </w:rPr>
        <w:commentReference w:id="0"/>
      </w:r>
      <w:r>
        <w:rPr>
          <w:rFonts w:hint="eastAsia" w:ascii="仿宋" w:hAnsi="仿宋" w:eastAsia="仿宋" w:cs="仿宋"/>
          <w:b w:val="0"/>
          <w:bCs w:val="0"/>
          <w:sz w:val="28"/>
          <w:szCs w:val="28"/>
          <w:highlight w:val="none"/>
          <w:vertAlign w:val="baseline"/>
          <w:lang w:val="en-US" w:eastAsia="zh-CN"/>
        </w:rPr>
        <w:t>合同签订后预付合同金额的20%，全部完工后，双方验收合格之后半年内付至结算值的95%，余5%质保期满后无质量问题一次性无息付清</w:t>
      </w:r>
      <w:commentRangeStart w:id="1"/>
      <w:r>
        <w:rPr>
          <w:rFonts w:hint="eastAsia" w:ascii="仿宋" w:hAnsi="仿宋" w:eastAsia="仿宋" w:cs="仿宋"/>
          <w:b w:val="0"/>
          <w:bCs w:val="0"/>
          <w:sz w:val="28"/>
          <w:szCs w:val="28"/>
          <w:highlight w:val="none"/>
          <w:vertAlign w:val="baseline"/>
          <w:lang w:val="en-US" w:eastAsia="zh-CN"/>
        </w:rPr>
        <w:t>。</w:t>
      </w:r>
      <w:commentRangeEnd w:id="1"/>
      <w:r>
        <w:rPr>
          <w:highlight w:val="none"/>
        </w:rPr>
        <w:commentReference w:id="1"/>
      </w:r>
    </w:p>
    <w:p w14:paraId="76C2177F">
      <w:pPr>
        <w:pStyle w:val="8"/>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8.付款方式：包括但不限于</w:t>
      </w:r>
      <w:r>
        <w:rPr>
          <w:rFonts w:hint="eastAsia" w:ascii="仿宋" w:hAnsi="仿宋" w:eastAsia="仿宋" w:cs="仿宋"/>
          <w:b/>
          <w:bCs/>
          <w:sz w:val="28"/>
          <w:szCs w:val="28"/>
          <w:highlight w:val="none"/>
        </w:rPr>
        <w:t>银行汇款、供应链票据、承兑汇票等方式</w:t>
      </w:r>
      <w:r>
        <w:rPr>
          <w:rFonts w:hint="eastAsia" w:ascii="仿宋" w:hAnsi="仿宋" w:eastAsia="仿宋" w:cs="仿宋"/>
          <w:b/>
          <w:bCs/>
          <w:sz w:val="28"/>
          <w:szCs w:val="28"/>
          <w:highlight w:val="none"/>
          <w:lang w:eastAsia="zh-CN"/>
        </w:rPr>
        <w:t>（</w:t>
      </w:r>
      <w:r>
        <w:rPr>
          <w:rFonts w:hint="eastAsia" w:ascii="仿宋" w:hAnsi="仿宋" w:eastAsia="仿宋" w:cs="仿宋"/>
          <w:b/>
          <w:bCs/>
          <w:sz w:val="28"/>
          <w:szCs w:val="28"/>
          <w:highlight w:val="none"/>
          <w:lang w:val="en-US" w:eastAsia="zh-CN"/>
        </w:rPr>
        <w:t>具体以甲方财务资金部要求为准</w:t>
      </w:r>
      <w:r>
        <w:rPr>
          <w:rFonts w:hint="eastAsia" w:ascii="仿宋" w:hAnsi="仿宋" w:eastAsia="仿宋" w:cs="仿宋"/>
          <w:b/>
          <w:bCs/>
          <w:sz w:val="28"/>
          <w:szCs w:val="28"/>
          <w:highlight w:val="none"/>
          <w:lang w:eastAsia="zh-CN"/>
        </w:rPr>
        <w:t>）</w:t>
      </w:r>
      <w:r>
        <w:rPr>
          <w:rFonts w:hint="eastAsia" w:ascii="仿宋" w:hAnsi="仿宋" w:eastAsia="仿宋" w:cs="仿宋"/>
          <w:b/>
          <w:bCs/>
          <w:sz w:val="28"/>
          <w:szCs w:val="28"/>
          <w:highlight w:val="none"/>
          <w:vertAlign w:val="baseline"/>
          <w:lang w:val="en-US" w:eastAsia="zh-CN"/>
        </w:rPr>
        <w:t>。</w:t>
      </w:r>
    </w:p>
    <w:p w14:paraId="4D4BA44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六、投标</w:t>
      </w:r>
      <w:r>
        <w:rPr>
          <w:rFonts w:hint="eastAsia" w:ascii="仿宋" w:hAnsi="仿宋" w:eastAsia="仿宋" w:cs="仿宋"/>
          <w:color w:val="auto"/>
          <w:sz w:val="28"/>
          <w:szCs w:val="28"/>
          <w:highlight w:val="none"/>
          <w:lang w:val="en-US" w:eastAsia="zh-CN"/>
        </w:rPr>
        <w:t>资格要求</w:t>
      </w:r>
    </w:p>
    <w:p w14:paraId="74936717">
      <w:pPr>
        <w:pStyle w:val="8"/>
        <w:tabs>
          <w:tab w:val="left" w:pos="945"/>
        </w:tabs>
        <w:spacing w:before="69" w:line="326" w:lineRule="auto"/>
        <w:ind w:firstLine="423"/>
        <w:rPr>
          <w:rFonts w:hint="eastAsia" w:ascii="仿宋" w:hAnsi="仿宋" w:eastAsia="仿宋" w:cs="仿宋"/>
          <w:spacing w:val="-2"/>
          <w:sz w:val="28"/>
          <w:szCs w:val="28"/>
          <w:highlight w:val="none"/>
          <w:lang w:eastAsia="zh-CN"/>
        </w:rPr>
      </w:pPr>
      <w:bookmarkStart w:id="1" w:name="_Toc12329"/>
      <w:r>
        <w:rPr>
          <w:rFonts w:hint="eastAsia" w:ascii="仿宋" w:hAnsi="仿宋" w:eastAsia="仿宋" w:cs="仿宋"/>
          <w:spacing w:val="-2"/>
          <w:sz w:val="28"/>
          <w:szCs w:val="28"/>
          <w:highlight w:val="none"/>
          <w:lang w:eastAsia="zh-CN"/>
        </w:rPr>
        <w:t>1、具有在中华人民共和国境内注册的独立法人资格；</w:t>
      </w:r>
    </w:p>
    <w:p w14:paraId="25CDB2D0">
      <w:pPr>
        <w:pStyle w:val="8"/>
        <w:tabs>
          <w:tab w:val="left" w:pos="945"/>
        </w:tabs>
        <w:spacing w:before="69" w:line="326" w:lineRule="auto"/>
        <w:ind w:firstLine="423"/>
        <w:rPr>
          <w:rFonts w:hint="eastAsia" w:ascii="仿宋" w:hAnsi="仿宋" w:eastAsia="仿宋" w:cs="仿宋"/>
          <w:spacing w:val="-2"/>
          <w:sz w:val="28"/>
          <w:szCs w:val="28"/>
          <w:highlight w:val="none"/>
          <w:lang w:eastAsia="zh-CN"/>
        </w:rPr>
      </w:pPr>
      <w:r>
        <w:rPr>
          <w:rFonts w:hint="eastAsia" w:ascii="仿宋" w:hAnsi="仿宋" w:eastAsia="仿宋" w:cs="仿宋"/>
          <w:spacing w:val="-2"/>
          <w:sz w:val="28"/>
          <w:szCs w:val="28"/>
          <w:highlight w:val="none"/>
          <w:lang w:val="en-US" w:eastAsia="zh-CN"/>
        </w:rPr>
        <w:t>2、</w:t>
      </w:r>
      <w:r>
        <w:rPr>
          <w:rFonts w:hint="eastAsia" w:ascii="仿宋" w:hAnsi="仿宋" w:eastAsia="仿宋" w:cs="仿宋"/>
          <w:spacing w:val="-2"/>
          <w:sz w:val="28"/>
          <w:szCs w:val="28"/>
          <w:highlight w:val="none"/>
          <w:lang w:eastAsia="zh-CN"/>
        </w:rPr>
        <w:t>与招标人存在利害关系可能影响招标公正性的法人、其他组织或者个人，不得参加投标。单位负责人为同一人或者存在控股、管理关系的不同单位，不得参加同一标段投标或者未划分标段的同一招标项目投标。</w:t>
      </w:r>
    </w:p>
    <w:p w14:paraId="41F1CA6F">
      <w:pPr>
        <w:pStyle w:val="8"/>
        <w:tabs>
          <w:tab w:val="left" w:pos="945"/>
        </w:tabs>
        <w:spacing w:before="69" w:line="326" w:lineRule="auto"/>
        <w:ind w:firstLine="423"/>
        <w:rPr>
          <w:rFonts w:hint="eastAsia" w:ascii="仿宋" w:hAnsi="仿宋" w:eastAsia="仿宋" w:cs="仿宋"/>
          <w:spacing w:val="-2"/>
          <w:sz w:val="28"/>
          <w:szCs w:val="28"/>
          <w:highlight w:val="none"/>
          <w:lang w:eastAsia="zh-CN"/>
        </w:rPr>
      </w:pPr>
      <w:r>
        <w:rPr>
          <w:rFonts w:hint="eastAsia" w:ascii="仿宋" w:hAnsi="仿宋" w:eastAsia="仿宋" w:cs="仿宋"/>
          <w:spacing w:val="-2"/>
          <w:sz w:val="28"/>
          <w:szCs w:val="28"/>
          <w:highlight w:val="none"/>
          <w:lang w:val="en-US" w:eastAsia="zh-CN"/>
        </w:rPr>
        <w:t>3、</w:t>
      </w:r>
      <w:r>
        <w:rPr>
          <w:rFonts w:hint="eastAsia" w:ascii="仿宋" w:hAnsi="仿宋" w:eastAsia="仿宋" w:cs="仿宋"/>
          <w:spacing w:val="-2"/>
          <w:sz w:val="28"/>
          <w:szCs w:val="28"/>
          <w:highlight w:val="none"/>
          <w:lang w:eastAsia="zh-CN"/>
        </w:rPr>
        <w:t>投标人不得是工程总承包项目的代建单位、项目管理单位、监理单位、造价咨询单位、</w:t>
      </w:r>
      <w:r>
        <w:rPr>
          <w:rFonts w:hint="eastAsia" w:ascii="仿宋" w:hAnsi="仿宋" w:eastAsia="仿宋" w:cs="仿宋"/>
          <w:spacing w:val="-2"/>
          <w:sz w:val="28"/>
          <w:szCs w:val="28"/>
          <w:highlight w:val="none"/>
          <w:lang w:val="en-US" w:eastAsia="zh-CN"/>
        </w:rPr>
        <w:t>设计单位</w:t>
      </w:r>
      <w:r>
        <w:rPr>
          <w:rFonts w:hint="eastAsia" w:ascii="仿宋" w:hAnsi="仿宋" w:eastAsia="仿宋" w:cs="仿宋"/>
          <w:spacing w:val="-2"/>
          <w:sz w:val="28"/>
          <w:szCs w:val="28"/>
          <w:highlight w:val="none"/>
          <w:lang w:eastAsia="zh-CN"/>
        </w:rPr>
        <w:t>、招标代理单位。</w:t>
      </w:r>
    </w:p>
    <w:p w14:paraId="3F987BB0">
      <w:pPr>
        <w:pStyle w:val="8"/>
        <w:tabs>
          <w:tab w:val="left" w:pos="945"/>
        </w:tabs>
        <w:spacing w:before="69" w:line="326" w:lineRule="auto"/>
        <w:ind w:firstLine="423"/>
        <w:rPr>
          <w:rFonts w:hint="eastAsia" w:ascii="仿宋" w:hAnsi="仿宋" w:eastAsia="仿宋" w:cs="仿宋"/>
          <w:spacing w:val="-2"/>
          <w:sz w:val="28"/>
          <w:szCs w:val="28"/>
          <w:highlight w:val="none"/>
          <w:lang w:eastAsia="zh-CN"/>
        </w:rPr>
      </w:pPr>
      <w:r>
        <w:rPr>
          <w:rFonts w:hint="eastAsia" w:ascii="仿宋" w:hAnsi="仿宋" w:eastAsia="仿宋" w:cs="仿宋"/>
          <w:spacing w:val="-2"/>
          <w:sz w:val="28"/>
          <w:szCs w:val="28"/>
          <w:highlight w:val="none"/>
          <w:lang w:val="en-US" w:eastAsia="zh-CN"/>
        </w:rPr>
        <w:t>4、参加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仿宋" w:hAnsi="仿宋" w:eastAsia="仿宋" w:cs="仿宋"/>
          <w:spacing w:val="-2"/>
          <w:sz w:val="28"/>
          <w:szCs w:val="28"/>
          <w:highlight w:val="none"/>
          <w:lang w:eastAsia="zh-CN"/>
        </w:rPr>
        <w:t>；</w:t>
      </w:r>
    </w:p>
    <w:p w14:paraId="428C080D">
      <w:pPr>
        <w:pStyle w:val="8"/>
        <w:tabs>
          <w:tab w:val="left" w:pos="945"/>
        </w:tabs>
        <w:spacing w:before="69" w:line="326" w:lineRule="auto"/>
        <w:ind w:firstLine="423"/>
        <w:rPr>
          <w:rFonts w:hint="eastAsia" w:ascii="仿宋" w:hAnsi="仿宋" w:eastAsia="仿宋" w:cs="仿宋"/>
          <w:spacing w:val="-2"/>
          <w:sz w:val="28"/>
          <w:szCs w:val="28"/>
          <w:highlight w:val="none"/>
        </w:rPr>
      </w:pPr>
      <w:r>
        <w:rPr>
          <w:rFonts w:hint="eastAsia" w:ascii="仿宋" w:hAnsi="仿宋" w:eastAsia="仿宋" w:cs="仿宋"/>
          <w:spacing w:val="-2"/>
          <w:sz w:val="28"/>
          <w:szCs w:val="28"/>
          <w:highlight w:val="none"/>
          <w:lang w:val="en-US" w:eastAsia="zh-CN"/>
        </w:rPr>
        <w:t>5、</w:t>
      </w:r>
      <w:r>
        <w:rPr>
          <w:rFonts w:hint="eastAsia" w:ascii="仿宋" w:hAnsi="仿宋" w:eastAsia="仿宋" w:cs="仿宋"/>
          <w:spacing w:val="-2"/>
          <w:sz w:val="28"/>
          <w:szCs w:val="28"/>
          <w:highlight w:val="none"/>
          <w:lang w:eastAsia="zh-CN"/>
        </w:rPr>
        <w:t>通过“信用中国”网站（www.creditchina.gov.cn），未被列入“失信被执行人”和“重大税收违法失信主体</w:t>
      </w:r>
      <w:r>
        <w:rPr>
          <w:rFonts w:hint="eastAsia" w:ascii="仿宋" w:hAnsi="仿宋" w:eastAsia="仿宋" w:cs="仿宋"/>
          <w:spacing w:val="-2"/>
          <w:sz w:val="28"/>
          <w:szCs w:val="28"/>
          <w:highlight w:val="none"/>
          <w:lang w:val="en-US" w:eastAsia="zh-CN"/>
        </w:rPr>
        <w:t>名单</w:t>
      </w:r>
      <w:r>
        <w:rPr>
          <w:rFonts w:hint="eastAsia" w:ascii="仿宋" w:hAnsi="仿宋" w:eastAsia="仿宋" w:cs="仿宋"/>
          <w:spacing w:val="-2"/>
          <w:sz w:val="28"/>
          <w:szCs w:val="28"/>
          <w:highlight w:val="none"/>
          <w:lang w:eastAsia="zh-CN"/>
        </w:rPr>
        <w:t>”和“严重失信主体名单”和“经营（活动）异常名录”的不良记录。</w:t>
      </w:r>
      <w:r>
        <w:rPr>
          <w:rFonts w:hint="eastAsia" w:ascii="仿宋" w:hAnsi="仿宋" w:eastAsia="仿宋" w:cs="仿宋"/>
          <w:spacing w:val="-2"/>
          <w:sz w:val="28"/>
          <w:szCs w:val="28"/>
          <w:highlight w:val="none"/>
          <w:lang w:val="en-US" w:eastAsia="zh-CN"/>
        </w:rPr>
        <w:t>通过“中国政府采购网”（www.ccgp.gov.cn）网站查询，未被列入政府采购严重违法失信行为记录名单；</w:t>
      </w:r>
      <w:bookmarkEnd w:id="1"/>
    </w:p>
    <w:p w14:paraId="5C686D74">
      <w:pPr>
        <w:pStyle w:val="8"/>
        <w:tabs>
          <w:tab w:val="left" w:pos="945"/>
        </w:tabs>
        <w:spacing w:before="69" w:line="326" w:lineRule="auto"/>
        <w:ind w:firstLine="423"/>
        <w:rPr>
          <w:rFonts w:hint="eastAsia" w:ascii="仿宋" w:hAnsi="仿宋" w:eastAsia="仿宋" w:cs="仿宋"/>
          <w:spacing w:val="-2"/>
          <w:sz w:val="28"/>
          <w:szCs w:val="28"/>
          <w:highlight w:val="none"/>
          <w:lang w:val="en-US" w:eastAsia="zh-CN"/>
        </w:rPr>
      </w:pPr>
      <w:r>
        <w:rPr>
          <w:rFonts w:hint="eastAsia" w:ascii="仿宋" w:hAnsi="仿宋" w:eastAsia="仿宋" w:cs="仿宋"/>
          <w:spacing w:val="-2"/>
          <w:sz w:val="28"/>
          <w:szCs w:val="28"/>
          <w:highlight w:val="none"/>
          <w:lang w:val="en-US" w:eastAsia="zh-CN"/>
        </w:rPr>
        <w:t>6、</w:t>
      </w:r>
      <w:r>
        <w:rPr>
          <w:rFonts w:hint="eastAsia" w:ascii="仿宋" w:hAnsi="仿宋" w:eastAsia="仿宋" w:cs="仿宋"/>
          <w:spacing w:val="-2"/>
          <w:sz w:val="28"/>
          <w:szCs w:val="28"/>
          <w:highlight w:val="none"/>
          <w:lang w:eastAsia="zh-CN"/>
        </w:rPr>
        <w:t>本项目不接受联合体</w:t>
      </w:r>
      <w:r>
        <w:rPr>
          <w:rFonts w:hint="eastAsia" w:ascii="仿宋" w:hAnsi="仿宋" w:eastAsia="仿宋" w:cs="仿宋"/>
          <w:spacing w:val="-2"/>
          <w:sz w:val="28"/>
          <w:szCs w:val="28"/>
          <w:highlight w:val="none"/>
          <w:lang w:val="en-US" w:eastAsia="zh-CN"/>
        </w:rPr>
        <w:t>投标</w:t>
      </w:r>
      <w:r>
        <w:rPr>
          <w:rFonts w:hint="eastAsia" w:ascii="仿宋" w:hAnsi="仿宋" w:eastAsia="仿宋" w:cs="仿宋"/>
          <w:spacing w:val="-2"/>
          <w:sz w:val="28"/>
          <w:szCs w:val="28"/>
          <w:highlight w:val="none"/>
          <w:lang w:eastAsia="zh-CN"/>
        </w:rPr>
        <w:t>、报价。</w:t>
      </w:r>
    </w:p>
    <w:p w14:paraId="02DDCB1E">
      <w:pPr>
        <w:keepNext w:val="0"/>
        <w:keepLines w:val="0"/>
        <w:pageBreakBefore w:val="0"/>
        <w:widowControl w:val="0"/>
        <w:shd w:val="clear"/>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七、投标供应商须提供以下资料，每项资料必须加盖公章：</w:t>
      </w:r>
    </w:p>
    <w:p w14:paraId="444DC588">
      <w:pPr>
        <w:keepNext w:val="0"/>
        <w:keepLines w:val="0"/>
        <w:pageBreakBefore w:val="0"/>
        <w:widowControl w:val="0"/>
        <w:numPr>
          <w:ilvl w:val="0"/>
          <w:numId w:val="3"/>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营业执照副本</w:t>
      </w:r>
      <w:r>
        <w:rPr>
          <w:rFonts w:hint="eastAsia" w:ascii="仿宋" w:hAnsi="仿宋" w:eastAsia="仿宋" w:cs="仿宋"/>
          <w:b w:val="0"/>
          <w:bCs w:val="0"/>
          <w:color w:val="auto"/>
          <w:sz w:val="28"/>
          <w:szCs w:val="28"/>
          <w:highlight w:val="none"/>
          <w:lang w:val="en-US" w:eastAsia="zh-CN"/>
        </w:rPr>
        <w:t>复印件</w:t>
      </w:r>
      <w:r>
        <w:rPr>
          <w:rFonts w:hint="eastAsia" w:ascii="仿宋" w:hAnsi="仿宋" w:eastAsia="仿宋" w:cs="仿宋"/>
          <w:b w:val="0"/>
          <w:bCs w:val="0"/>
          <w:color w:val="auto"/>
          <w:sz w:val="28"/>
          <w:szCs w:val="28"/>
          <w:highlight w:val="none"/>
          <w:lang w:eastAsia="zh-CN"/>
        </w:rPr>
        <w:t>；</w:t>
      </w:r>
    </w:p>
    <w:p w14:paraId="74BCF877">
      <w:pPr>
        <w:keepNext w:val="0"/>
        <w:keepLines w:val="0"/>
        <w:pageBreakBefore w:val="0"/>
        <w:widowControl w:val="0"/>
        <w:numPr>
          <w:ilvl w:val="0"/>
          <w:numId w:val="3"/>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缴纳税收证明资料（近</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个月）</w:t>
      </w:r>
      <w:r>
        <w:rPr>
          <w:rFonts w:hint="eastAsia" w:ascii="仿宋" w:hAnsi="仿宋" w:eastAsia="仿宋" w:cs="仿宋"/>
          <w:b w:val="0"/>
          <w:bCs w:val="0"/>
          <w:color w:val="auto"/>
          <w:sz w:val="28"/>
          <w:szCs w:val="28"/>
          <w:highlight w:val="none"/>
          <w:lang w:val="en-US" w:eastAsia="zh-CN"/>
        </w:rPr>
        <w:t>完税证明或增值税申报表；</w:t>
      </w:r>
    </w:p>
    <w:p w14:paraId="6FE1ED1E">
      <w:pPr>
        <w:keepNext w:val="0"/>
        <w:keepLines w:val="0"/>
        <w:pageBreakBefore w:val="0"/>
        <w:widowControl w:val="0"/>
        <w:numPr>
          <w:ilvl w:val="0"/>
          <w:numId w:val="3"/>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上年度纳税信用等级B级（含）以上，新注册企业M级；</w:t>
      </w:r>
    </w:p>
    <w:p w14:paraId="69AE7179">
      <w:pPr>
        <w:keepNext w:val="0"/>
        <w:keepLines w:val="0"/>
        <w:pageBreakBefore w:val="0"/>
        <w:widowControl w:val="0"/>
        <w:numPr>
          <w:ilvl w:val="0"/>
          <w:numId w:val="3"/>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缴纳社会保险证明资料（近</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个月）；</w:t>
      </w:r>
    </w:p>
    <w:p w14:paraId="3C420EE4">
      <w:pPr>
        <w:keepNext w:val="0"/>
        <w:keepLines w:val="0"/>
        <w:pageBreakBefore w:val="0"/>
        <w:widowControl w:val="0"/>
        <w:numPr>
          <w:ilvl w:val="0"/>
          <w:numId w:val="3"/>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spacing w:val="-1"/>
          <w:sz w:val="28"/>
          <w:szCs w:val="28"/>
          <w:highlight w:val="none"/>
        </w:rPr>
      </w:pPr>
      <w:r>
        <w:rPr>
          <w:rFonts w:hint="eastAsia" w:ascii="仿宋" w:hAnsi="仿宋" w:eastAsia="仿宋" w:cs="仿宋"/>
          <w:b w:val="0"/>
          <w:bCs w:val="0"/>
          <w:color w:val="auto"/>
          <w:sz w:val="28"/>
          <w:szCs w:val="28"/>
          <w:highlight w:val="none"/>
          <w:lang w:val="en-US" w:eastAsia="zh-CN"/>
        </w:rPr>
        <w:t>报价文件全部内容（1-19）；</w:t>
      </w:r>
    </w:p>
    <w:p w14:paraId="77C85874">
      <w:pPr>
        <w:keepNext w:val="0"/>
        <w:keepLines w:val="0"/>
        <w:pageBreakBefore w:val="0"/>
        <w:widowControl w:val="0"/>
        <w:numPr>
          <w:ilvl w:val="0"/>
          <w:numId w:val="3"/>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spacing w:val="-1"/>
          <w:sz w:val="28"/>
          <w:szCs w:val="28"/>
          <w:highlight w:val="none"/>
        </w:rPr>
      </w:pPr>
      <w:r>
        <w:rPr>
          <w:rFonts w:hint="eastAsia" w:ascii="仿宋" w:hAnsi="仿宋" w:eastAsia="仿宋" w:cs="仿宋"/>
          <w:spacing w:val="-1"/>
          <w:sz w:val="28"/>
          <w:szCs w:val="28"/>
          <w:highlight w:val="none"/>
          <w:lang w:val="en-US" w:eastAsia="zh-CN"/>
        </w:rPr>
        <w:t>近三年无重大违法记录证明</w:t>
      </w:r>
    </w:p>
    <w:p w14:paraId="2F286A2E">
      <w:pPr>
        <w:keepNext w:val="0"/>
        <w:keepLines w:val="0"/>
        <w:pageBreakBefore w:val="0"/>
        <w:widowControl w:val="0"/>
        <w:numPr>
          <w:ilvl w:val="0"/>
          <w:numId w:val="3"/>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bCs/>
          <w:spacing w:val="-1"/>
          <w:sz w:val="28"/>
          <w:szCs w:val="28"/>
          <w:highlight w:val="none"/>
        </w:rPr>
      </w:pPr>
      <w:commentRangeStart w:id="2"/>
      <w:r>
        <w:rPr>
          <w:rFonts w:hint="eastAsia" w:ascii="仿宋" w:hAnsi="仿宋" w:eastAsia="仿宋" w:cs="仿宋"/>
          <w:b/>
          <w:bCs/>
          <w:spacing w:val="-1"/>
          <w:sz w:val="28"/>
          <w:szCs w:val="28"/>
          <w:highlight w:val="none"/>
          <w:lang w:val="en-US" w:eastAsia="zh-CN"/>
        </w:rPr>
        <w:t>近三年业绩合同（2023年5月1日至2026年4月30日</w:t>
      </w:r>
      <w:commentRangeEnd w:id="2"/>
      <w:r>
        <w:rPr>
          <w:b/>
          <w:bCs/>
          <w:highlight w:val="none"/>
        </w:rPr>
        <w:commentReference w:id="2"/>
      </w:r>
      <w:r>
        <w:rPr>
          <w:rFonts w:hint="eastAsia" w:ascii="仿宋" w:hAnsi="仿宋" w:eastAsia="仿宋" w:cs="仿宋"/>
          <w:b/>
          <w:bCs/>
          <w:spacing w:val="-1"/>
          <w:sz w:val="28"/>
          <w:szCs w:val="28"/>
          <w:highlight w:val="none"/>
          <w:lang w:val="en-US" w:eastAsia="zh-CN"/>
        </w:rPr>
        <w:t>签订的金额</w:t>
      </w:r>
      <w:r>
        <w:rPr>
          <w:rFonts w:hint="default" w:ascii="Arial" w:hAnsi="Arial" w:eastAsia="仿宋" w:cs="Arial"/>
          <w:b/>
          <w:bCs/>
          <w:spacing w:val="-1"/>
          <w:sz w:val="28"/>
          <w:szCs w:val="28"/>
          <w:highlight w:val="none"/>
          <w:lang w:val="en-US" w:eastAsia="zh-CN"/>
        </w:rPr>
        <w:t>≥</w:t>
      </w:r>
      <w:r>
        <w:rPr>
          <w:rFonts w:hint="eastAsia" w:ascii="仿宋" w:hAnsi="仿宋" w:eastAsia="仿宋" w:cs="仿宋"/>
          <w:b/>
          <w:bCs/>
          <w:spacing w:val="-1"/>
          <w:sz w:val="28"/>
          <w:szCs w:val="28"/>
          <w:highlight w:val="none"/>
          <w:lang w:val="en-US" w:eastAsia="zh-CN"/>
        </w:rPr>
        <w:t>10万元人民币以上的）</w:t>
      </w:r>
    </w:p>
    <w:p w14:paraId="715318F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firstLine="560" w:firstLineChars="200"/>
        <w:textAlignment w:val="auto"/>
        <w:rPr>
          <w:rFonts w:hint="eastAsia" w:ascii="仿宋" w:hAnsi="仿宋" w:eastAsia="仿宋" w:cs="仿宋"/>
          <w:spacing w:val="-1"/>
          <w:sz w:val="28"/>
          <w:szCs w:val="28"/>
          <w:highlight w:val="none"/>
        </w:rPr>
      </w:pPr>
      <w:r>
        <w:rPr>
          <w:rFonts w:hint="eastAsia" w:ascii="仿宋" w:hAnsi="仿宋" w:eastAsia="仿宋" w:cs="仿宋"/>
          <w:sz w:val="28"/>
          <w:szCs w:val="28"/>
          <w:highlight w:val="none"/>
          <w:lang w:val="en-US" w:eastAsia="zh-CN"/>
        </w:rPr>
        <w:t>八、采购公告及</w:t>
      </w:r>
      <w:commentRangeStart w:id="3"/>
      <w:r>
        <w:rPr>
          <w:rFonts w:hint="eastAsia" w:ascii="仿宋" w:hAnsi="仿宋" w:eastAsia="仿宋" w:cs="仿宋"/>
          <w:sz w:val="28"/>
          <w:szCs w:val="28"/>
          <w:highlight w:val="none"/>
          <w:lang w:val="en-US" w:eastAsia="zh-CN"/>
        </w:rPr>
        <w:t>采购结果</w:t>
      </w:r>
      <w:r>
        <w:rPr>
          <w:rFonts w:hint="eastAsia" w:ascii="仿宋" w:hAnsi="仿宋" w:eastAsia="仿宋" w:cs="仿宋"/>
          <w:sz w:val="28"/>
          <w:szCs w:val="28"/>
          <w:highlight w:val="none"/>
        </w:rPr>
        <w:t>发放</w:t>
      </w:r>
      <w:commentRangeEnd w:id="3"/>
      <w:r>
        <w:rPr>
          <w:highlight w:val="none"/>
        </w:rPr>
        <w:commentReference w:id="3"/>
      </w:r>
      <w:r>
        <w:rPr>
          <w:rFonts w:hint="eastAsia" w:ascii="仿宋" w:hAnsi="仿宋" w:eastAsia="仿宋" w:cs="仿宋"/>
          <w:sz w:val="28"/>
          <w:szCs w:val="28"/>
          <w:highlight w:val="none"/>
        </w:rPr>
        <w:t>：</w:t>
      </w:r>
      <w:r>
        <w:rPr>
          <w:rFonts w:hint="eastAsia" w:ascii="仿宋" w:hAnsi="仿宋" w:eastAsia="仿宋" w:cs="仿宋"/>
          <w:spacing w:val="-1"/>
          <w:sz w:val="28"/>
          <w:szCs w:val="28"/>
          <w:highlight w:val="none"/>
        </w:rPr>
        <w:t>本次</w:t>
      </w:r>
      <w:r>
        <w:rPr>
          <w:rFonts w:hint="eastAsia" w:ascii="仿宋" w:hAnsi="仿宋" w:eastAsia="仿宋" w:cs="仿宋"/>
          <w:spacing w:val="-1"/>
          <w:sz w:val="28"/>
          <w:szCs w:val="28"/>
          <w:highlight w:val="none"/>
          <w:lang w:val="en-US" w:eastAsia="zh-CN"/>
        </w:rPr>
        <w:t>采购</w:t>
      </w:r>
      <w:r>
        <w:rPr>
          <w:rFonts w:hint="eastAsia" w:ascii="仿宋" w:hAnsi="仿宋" w:eastAsia="仿宋" w:cs="仿宋"/>
          <w:spacing w:val="-1"/>
          <w:sz w:val="28"/>
          <w:szCs w:val="28"/>
          <w:highlight w:val="none"/>
        </w:rPr>
        <w:t>公告在</w:t>
      </w:r>
      <w:r>
        <w:rPr>
          <w:rFonts w:hint="eastAsia" w:ascii="仿宋" w:hAnsi="仿宋" w:eastAsia="仿宋" w:cs="仿宋"/>
          <w:spacing w:val="-1"/>
          <w:sz w:val="28"/>
          <w:szCs w:val="28"/>
          <w:highlight w:val="none"/>
          <w:lang w:val="en-US" w:eastAsia="zh-CN"/>
        </w:rPr>
        <w:t>青岛碧海水务有限公司网站（https://www.qdbhwater.com/ ）</w:t>
      </w:r>
      <w:r>
        <w:rPr>
          <w:rFonts w:hint="eastAsia" w:ascii="仿宋" w:hAnsi="仿宋" w:eastAsia="仿宋" w:cs="仿宋"/>
          <w:spacing w:val="-1"/>
          <w:sz w:val="28"/>
          <w:szCs w:val="28"/>
          <w:highlight w:val="none"/>
        </w:rPr>
        <w:t>上发布,因轻信其他组织、个人或媒体提供的信息而造成损失的，</w:t>
      </w:r>
      <w:r>
        <w:rPr>
          <w:rFonts w:hint="eastAsia" w:ascii="仿宋" w:hAnsi="仿宋" w:eastAsia="仿宋" w:cs="仿宋"/>
          <w:spacing w:val="-1"/>
          <w:sz w:val="28"/>
          <w:szCs w:val="28"/>
          <w:highlight w:val="none"/>
          <w:lang w:val="en-US" w:eastAsia="zh-CN"/>
        </w:rPr>
        <w:t>招标人</w:t>
      </w:r>
      <w:r>
        <w:rPr>
          <w:rFonts w:hint="eastAsia" w:ascii="仿宋" w:hAnsi="仿宋" w:eastAsia="仿宋" w:cs="仿宋"/>
          <w:spacing w:val="-1"/>
          <w:sz w:val="28"/>
          <w:szCs w:val="28"/>
          <w:highlight w:val="none"/>
        </w:rPr>
        <w:t>概不负责。</w:t>
      </w:r>
    </w:p>
    <w:p w14:paraId="6E4C0A2F">
      <w:pPr>
        <w:spacing w:before="303" w:line="239" w:lineRule="auto"/>
        <w:outlineLvl w:val="1"/>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九、</w:t>
      </w:r>
      <w:r>
        <w:rPr>
          <w:rFonts w:hint="eastAsia" w:ascii="仿宋" w:hAnsi="仿宋" w:eastAsia="仿宋" w:cs="仿宋"/>
          <w:b/>
          <w:bCs/>
          <w:spacing w:val="5"/>
          <w:sz w:val="28"/>
          <w:szCs w:val="28"/>
          <w:highlight w:val="none"/>
        </w:rPr>
        <w:t xml:space="preserve"> </w:t>
      </w:r>
      <w:commentRangeStart w:id="4"/>
      <w:r>
        <w:rPr>
          <w:rFonts w:hint="eastAsia" w:ascii="仿宋" w:hAnsi="仿宋" w:eastAsia="仿宋" w:cs="仿宋"/>
          <w:b/>
          <w:bCs/>
          <w:spacing w:val="5"/>
          <w:sz w:val="28"/>
          <w:szCs w:val="28"/>
          <w:highlight w:val="none"/>
        </w:rPr>
        <w:t>投标文件的递交</w:t>
      </w:r>
      <w:commentRangeEnd w:id="4"/>
      <w:r>
        <w:rPr>
          <w:highlight w:val="none"/>
        </w:rPr>
        <w:commentReference w:id="4"/>
      </w:r>
    </w:p>
    <w:p w14:paraId="1560F004">
      <w:pPr>
        <w:pStyle w:val="8"/>
        <w:tabs>
          <w:tab w:val="left" w:pos="945"/>
        </w:tabs>
        <w:spacing w:before="69" w:line="287" w:lineRule="auto"/>
        <w:ind w:right="141" w:firstLine="430"/>
        <w:rPr>
          <w:rFonts w:hint="eastAsia" w:ascii="仿宋" w:hAnsi="仿宋" w:eastAsia="仿宋" w:cs="仿宋"/>
          <w:sz w:val="28"/>
          <w:szCs w:val="28"/>
          <w:highlight w:val="none"/>
        </w:rPr>
      </w:pPr>
      <w:r>
        <w:rPr>
          <w:rFonts w:hint="eastAsia" w:ascii="仿宋" w:hAnsi="仿宋" w:eastAsia="仿宋" w:cs="仿宋"/>
          <w:spacing w:val="-1"/>
          <w:sz w:val="28"/>
          <w:szCs w:val="28"/>
          <w:highlight w:val="none"/>
        </w:rPr>
        <w:t>1</w:t>
      </w:r>
      <w:r>
        <w:rPr>
          <w:rFonts w:hint="eastAsia" w:ascii="仿宋" w:hAnsi="仿宋" w:eastAsia="仿宋" w:cs="仿宋"/>
          <w:spacing w:val="-1"/>
          <w:sz w:val="28"/>
          <w:szCs w:val="28"/>
          <w:highlight w:val="none"/>
          <w:lang w:eastAsia="zh-CN"/>
        </w:rPr>
        <w:t>、</w:t>
      </w:r>
      <w:r>
        <w:rPr>
          <w:rFonts w:hint="eastAsia" w:ascii="仿宋" w:hAnsi="仿宋" w:eastAsia="仿宋" w:cs="仿宋"/>
          <w:spacing w:val="-1"/>
          <w:sz w:val="28"/>
          <w:szCs w:val="28"/>
          <w:highlight w:val="none"/>
        </w:rPr>
        <w:t>投标文件递交的截止时间（投标截止时间，下同）为</w:t>
      </w:r>
      <w:r>
        <w:rPr>
          <w:rFonts w:hint="eastAsia" w:ascii="仿宋" w:hAnsi="仿宋" w:eastAsia="仿宋" w:cs="仿宋"/>
          <w:spacing w:val="-1"/>
          <w:sz w:val="28"/>
          <w:szCs w:val="28"/>
          <w:highlight w:val="none"/>
          <w:u w:val="single" w:color="auto"/>
        </w:rPr>
        <w:t xml:space="preserve"> </w:t>
      </w:r>
      <w:r>
        <w:rPr>
          <w:rFonts w:hint="eastAsia" w:ascii="仿宋" w:hAnsi="仿宋" w:eastAsia="仿宋" w:cs="仿宋"/>
          <w:spacing w:val="-1"/>
          <w:sz w:val="28"/>
          <w:szCs w:val="28"/>
          <w:highlight w:val="none"/>
          <w:u w:val="single" w:color="auto"/>
          <w:lang w:val="en-US" w:eastAsia="zh-CN"/>
        </w:rPr>
        <w:t>2026</w:t>
      </w:r>
      <w:r>
        <w:rPr>
          <w:rFonts w:hint="eastAsia" w:ascii="仿宋" w:hAnsi="仿宋" w:eastAsia="仿宋" w:cs="仿宋"/>
          <w:spacing w:val="-1"/>
          <w:sz w:val="28"/>
          <w:szCs w:val="28"/>
          <w:highlight w:val="none"/>
          <w:u w:val="single" w:color="auto"/>
        </w:rPr>
        <w:t xml:space="preserve"> </w:t>
      </w:r>
      <w:r>
        <w:rPr>
          <w:rFonts w:hint="eastAsia" w:ascii="仿宋" w:hAnsi="仿宋" w:eastAsia="仿宋" w:cs="仿宋"/>
          <w:spacing w:val="-82"/>
          <w:sz w:val="28"/>
          <w:szCs w:val="28"/>
          <w:highlight w:val="none"/>
        </w:rPr>
        <w:t xml:space="preserve"> </w:t>
      </w:r>
      <w:r>
        <w:rPr>
          <w:rFonts w:hint="eastAsia" w:ascii="仿宋" w:hAnsi="仿宋" w:eastAsia="仿宋" w:cs="仿宋"/>
          <w:spacing w:val="-1"/>
          <w:sz w:val="28"/>
          <w:szCs w:val="28"/>
          <w:highlight w:val="none"/>
        </w:rPr>
        <w:t>年</w:t>
      </w:r>
      <w:r>
        <w:rPr>
          <w:rFonts w:hint="eastAsia" w:ascii="仿宋" w:hAnsi="仿宋" w:eastAsia="仿宋" w:cs="仿宋"/>
          <w:spacing w:val="-105"/>
          <w:sz w:val="28"/>
          <w:szCs w:val="28"/>
          <w:highlight w:val="none"/>
        </w:rPr>
        <w:t xml:space="preserve"> </w:t>
      </w:r>
      <w:r>
        <w:rPr>
          <w:rFonts w:hint="eastAsia" w:ascii="仿宋" w:hAnsi="仿宋" w:eastAsia="仿宋" w:cs="仿宋"/>
          <w:spacing w:val="13"/>
          <w:sz w:val="28"/>
          <w:szCs w:val="28"/>
          <w:highlight w:val="none"/>
          <w:u w:val="single" w:color="auto"/>
        </w:rPr>
        <w:t xml:space="preserve"> </w:t>
      </w:r>
      <w:r>
        <w:rPr>
          <w:rFonts w:hint="eastAsia" w:ascii="仿宋" w:hAnsi="仿宋" w:eastAsia="仿宋" w:cs="仿宋"/>
          <w:spacing w:val="13"/>
          <w:sz w:val="28"/>
          <w:szCs w:val="28"/>
          <w:highlight w:val="none"/>
          <w:u w:val="single" w:color="auto"/>
          <w:lang w:val="en-US" w:eastAsia="zh-CN"/>
        </w:rPr>
        <w:t>6</w:t>
      </w:r>
      <w:r>
        <w:rPr>
          <w:rFonts w:hint="eastAsia" w:ascii="仿宋" w:hAnsi="仿宋" w:eastAsia="仿宋" w:cs="仿宋"/>
          <w:spacing w:val="13"/>
          <w:sz w:val="28"/>
          <w:szCs w:val="28"/>
          <w:highlight w:val="none"/>
          <w:u w:val="single" w:color="auto"/>
        </w:rPr>
        <w:t xml:space="preserve"> </w:t>
      </w:r>
      <w:r>
        <w:rPr>
          <w:rFonts w:hint="eastAsia" w:ascii="仿宋" w:hAnsi="仿宋" w:eastAsia="仿宋" w:cs="仿宋"/>
          <w:spacing w:val="-92"/>
          <w:sz w:val="28"/>
          <w:szCs w:val="28"/>
          <w:highlight w:val="none"/>
        </w:rPr>
        <w:t xml:space="preserve"> </w:t>
      </w:r>
      <w:r>
        <w:rPr>
          <w:rFonts w:hint="eastAsia" w:ascii="仿宋" w:hAnsi="仿宋" w:eastAsia="仿宋" w:cs="仿宋"/>
          <w:spacing w:val="-1"/>
          <w:sz w:val="28"/>
          <w:szCs w:val="28"/>
          <w:highlight w:val="none"/>
        </w:rPr>
        <w:t>月</w:t>
      </w: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u w:val="single" w:color="auto"/>
          <w:lang w:val="en-US" w:eastAsia="zh-CN"/>
        </w:rPr>
        <w:t>22</w:t>
      </w:r>
      <w:r>
        <w:rPr>
          <w:rFonts w:hint="eastAsia" w:ascii="仿宋" w:hAnsi="仿宋" w:eastAsia="仿宋" w:cs="仿宋"/>
          <w:spacing w:val="-59"/>
          <w:sz w:val="28"/>
          <w:szCs w:val="28"/>
          <w:highlight w:val="none"/>
        </w:rPr>
        <w:t xml:space="preserve"> </w:t>
      </w:r>
      <w:r>
        <w:rPr>
          <w:rFonts w:hint="eastAsia" w:ascii="仿宋" w:hAnsi="仿宋" w:eastAsia="仿宋" w:cs="仿宋"/>
          <w:spacing w:val="-9"/>
          <w:sz w:val="28"/>
          <w:szCs w:val="28"/>
          <w:highlight w:val="none"/>
        </w:rPr>
        <w:t>日</w:t>
      </w:r>
      <w:r>
        <w:rPr>
          <w:rFonts w:hint="eastAsia" w:ascii="仿宋" w:hAnsi="仿宋" w:eastAsia="仿宋" w:cs="仿宋"/>
          <w:sz w:val="28"/>
          <w:szCs w:val="28"/>
          <w:highlight w:val="none"/>
          <w:u w:val="single" w:color="auto"/>
          <w:lang w:val="en-US" w:eastAsia="zh-CN"/>
        </w:rPr>
        <w:t>9</w:t>
      </w:r>
      <w:r>
        <w:rPr>
          <w:rFonts w:hint="eastAsia" w:ascii="仿宋" w:hAnsi="仿宋" w:eastAsia="仿宋" w:cs="仿宋"/>
          <w:sz w:val="28"/>
          <w:szCs w:val="28"/>
          <w:highlight w:val="none"/>
          <w:u w:val="single" w:color="auto"/>
        </w:rPr>
        <w:t xml:space="preserve"> </w:t>
      </w:r>
      <w:r>
        <w:rPr>
          <w:rFonts w:hint="eastAsia" w:ascii="仿宋" w:hAnsi="仿宋" w:eastAsia="仿宋" w:cs="仿宋"/>
          <w:spacing w:val="-86"/>
          <w:sz w:val="28"/>
          <w:szCs w:val="28"/>
          <w:highlight w:val="none"/>
        </w:rPr>
        <w:t xml:space="preserve"> </w:t>
      </w:r>
      <w:r>
        <w:rPr>
          <w:rFonts w:hint="eastAsia" w:ascii="仿宋" w:hAnsi="仿宋" w:eastAsia="仿宋" w:cs="仿宋"/>
          <w:spacing w:val="-9"/>
          <w:sz w:val="28"/>
          <w:szCs w:val="28"/>
          <w:highlight w:val="none"/>
        </w:rPr>
        <w:t>时</w:t>
      </w:r>
      <w:r>
        <w:rPr>
          <w:rFonts w:hint="eastAsia" w:ascii="仿宋" w:hAnsi="仿宋" w:eastAsia="仿宋" w:cs="仿宋"/>
          <w:spacing w:val="12"/>
          <w:sz w:val="28"/>
          <w:szCs w:val="28"/>
          <w:highlight w:val="none"/>
          <w:u w:val="single" w:color="auto"/>
          <w:lang w:val="en-US" w:eastAsia="zh-CN"/>
        </w:rPr>
        <w:t>00</w:t>
      </w:r>
      <w:r>
        <w:rPr>
          <w:rFonts w:hint="eastAsia" w:ascii="仿宋" w:hAnsi="仿宋" w:eastAsia="仿宋" w:cs="仿宋"/>
          <w:spacing w:val="-87"/>
          <w:sz w:val="28"/>
          <w:szCs w:val="28"/>
          <w:highlight w:val="none"/>
        </w:rPr>
        <w:t xml:space="preserve"> </w:t>
      </w:r>
      <w:r>
        <w:rPr>
          <w:rFonts w:hint="eastAsia" w:ascii="仿宋" w:hAnsi="仿宋" w:eastAsia="仿宋" w:cs="仿宋"/>
          <w:spacing w:val="-9"/>
          <w:sz w:val="28"/>
          <w:szCs w:val="28"/>
          <w:highlight w:val="none"/>
        </w:rPr>
        <w:t>分，地点为</w:t>
      </w:r>
      <w:r>
        <w:rPr>
          <w:rFonts w:hint="eastAsia" w:ascii="仿宋" w:hAnsi="仿宋" w:eastAsia="仿宋" w:cs="仿宋"/>
          <w:spacing w:val="6"/>
          <w:sz w:val="28"/>
          <w:szCs w:val="28"/>
          <w:highlight w:val="none"/>
          <w:u w:val="single" w:color="auto"/>
          <w:lang w:val="en-US" w:eastAsia="zh-CN"/>
        </w:rPr>
        <w:t>青岛市黄岛区淮河西路167号</w:t>
      </w:r>
      <w:r>
        <w:rPr>
          <w:rFonts w:hint="eastAsia" w:ascii="仿宋" w:hAnsi="仿宋" w:eastAsia="仿宋" w:cs="仿宋"/>
          <w:spacing w:val="6"/>
          <w:sz w:val="28"/>
          <w:szCs w:val="28"/>
          <w:highlight w:val="none"/>
          <w:u w:val="single" w:color="auto"/>
        </w:rPr>
        <w:t xml:space="preserve"> </w:t>
      </w:r>
      <w:r>
        <w:rPr>
          <w:rFonts w:hint="eastAsia" w:ascii="仿宋" w:hAnsi="仿宋" w:eastAsia="仿宋" w:cs="仿宋"/>
          <w:spacing w:val="-9"/>
          <w:sz w:val="28"/>
          <w:szCs w:val="28"/>
          <w:highlight w:val="none"/>
        </w:rPr>
        <w:t>。</w:t>
      </w:r>
    </w:p>
    <w:p w14:paraId="05B5E013">
      <w:pPr>
        <w:pStyle w:val="8"/>
        <w:spacing w:before="151" w:line="285" w:lineRule="auto"/>
        <w:ind w:left="9" w:firstLine="420"/>
        <w:rPr>
          <w:rFonts w:hint="eastAsia" w:ascii="仿宋" w:hAnsi="仿宋" w:eastAsia="仿宋" w:cs="仿宋"/>
          <w:sz w:val="28"/>
          <w:szCs w:val="28"/>
          <w:highlight w:val="none"/>
          <w:lang w:val="en-US" w:eastAsia="zh-CN"/>
        </w:rPr>
      </w:pPr>
      <w:r>
        <w:rPr>
          <w:rFonts w:hint="eastAsia" w:ascii="仿宋" w:hAnsi="仿宋" w:eastAsia="仿宋" w:cs="仿宋"/>
          <w:spacing w:val="-1"/>
          <w:sz w:val="28"/>
          <w:szCs w:val="28"/>
          <w:highlight w:val="none"/>
        </w:rPr>
        <w:t>2</w:t>
      </w:r>
      <w:r>
        <w:rPr>
          <w:rFonts w:hint="eastAsia" w:ascii="仿宋" w:hAnsi="仿宋" w:eastAsia="仿宋" w:cs="仿宋"/>
          <w:spacing w:val="35"/>
          <w:sz w:val="28"/>
          <w:szCs w:val="28"/>
          <w:highlight w:val="none"/>
          <w:lang w:eastAsia="zh-CN"/>
        </w:rPr>
        <w:t>、</w:t>
      </w:r>
      <w:r>
        <w:rPr>
          <w:rFonts w:hint="eastAsia" w:ascii="仿宋" w:hAnsi="仿宋" w:eastAsia="仿宋" w:cs="仿宋"/>
          <w:spacing w:val="-1"/>
          <w:sz w:val="28"/>
          <w:szCs w:val="28"/>
          <w:highlight w:val="none"/>
        </w:rPr>
        <w:t>逾期送达的、未送达指定地点的或者不按照</w:t>
      </w:r>
      <w:r>
        <w:rPr>
          <w:rFonts w:hint="eastAsia" w:ascii="仿宋" w:hAnsi="仿宋" w:eastAsia="仿宋" w:cs="仿宋"/>
          <w:spacing w:val="-2"/>
          <w:sz w:val="28"/>
          <w:szCs w:val="28"/>
          <w:highlight w:val="none"/>
        </w:rPr>
        <w:t>招标文件要求</w:t>
      </w:r>
      <w:r>
        <w:rPr>
          <w:rFonts w:hint="eastAsia" w:ascii="仿宋" w:hAnsi="仿宋" w:eastAsia="仿宋" w:cs="仿宋"/>
          <w:spacing w:val="-2"/>
          <w:sz w:val="28"/>
          <w:szCs w:val="28"/>
          <w:highlight w:val="none"/>
          <w:lang w:val="en-US" w:eastAsia="zh-CN"/>
        </w:rPr>
        <w:t>装订、</w:t>
      </w:r>
      <w:r>
        <w:rPr>
          <w:rFonts w:hint="eastAsia" w:ascii="仿宋" w:hAnsi="仿宋" w:eastAsia="仿宋" w:cs="仿宋"/>
          <w:spacing w:val="-2"/>
          <w:sz w:val="28"/>
          <w:szCs w:val="28"/>
          <w:highlight w:val="none"/>
        </w:rPr>
        <w:t>密封的投标文件，招标</w:t>
      </w:r>
      <w:r>
        <w:rPr>
          <w:rFonts w:hint="eastAsia" w:ascii="仿宋" w:hAnsi="仿宋" w:eastAsia="仿宋" w:cs="仿宋"/>
          <w:spacing w:val="-4"/>
          <w:sz w:val="28"/>
          <w:szCs w:val="28"/>
          <w:highlight w:val="none"/>
        </w:rPr>
        <w:t>人将予以拒收。</w:t>
      </w:r>
    </w:p>
    <w:p w14:paraId="7FEB4AA6">
      <w:pPr>
        <w:pageBreakBefore w:val="0"/>
        <w:shd w:val="clear"/>
        <w:kinsoku/>
        <w:wordWrap/>
        <w:overflowPunct/>
        <w:autoSpaceDE/>
        <w:autoSpaceDN/>
        <w:bidi w:val="0"/>
        <w:adjustRightInd w:val="0"/>
        <w:snapToGrid w:val="0"/>
        <w:spacing w:line="360" w:lineRule="auto"/>
        <w:textAlignment w:val="auto"/>
        <w:rPr>
          <w:rFonts w:hint="eastAsia" w:ascii="仿宋" w:hAnsi="仿宋" w:eastAsia="仿宋" w:cs="仿宋"/>
          <w:sz w:val="28"/>
          <w:szCs w:val="28"/>
          <w:highlight w:val="none"/>
          <w:lang w:val="en-US" w:eastAsia="zh-CN"/>
        </w:rPr>
      </w:pPr>
    </w:p>
    <w:p w14:paraId="64C0A022">
      <w:pPr>
        <w:pageBreakBefore w:val="0"/>
        <w:shd w:val="clear"/>
        <w:kinsoku/>
        <w:wordWrap/>
        <w:overflowPunct/>
        <w:autoSpaceDE/>
        <w:autoSpaceDN/>
        <w:bidi w:val="0"/>
        <w:adjustRightInd w:val="0"/>
        <w:snapToGrid w:val="0"/>
        <w:spacing w:line="36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十、</w:t>
      </w:r>
      <w:commentRangeStart w:id="5"/>
      <w:r>
        <w:rPr>
          <w:rFonts w:hint="eastAsia" w:ascii="仿宋" w:hAnsi="仿宋" w:eastAsia="仿宋" w:cs="仿宋"/>
          <w:sz w:val="28"/>
          <w:szCs w:val="28"/>
          <w:highlight w:val="none"/>
        </w:rPr>
        <w:t>采购项目联系人姓名和电话</w:t>
      </w:r>
      <w:commentRangeEnd w:id="5"/>
      <w:r>
        <w:rPr>
          <w:highlight w:val="none"/>
        </w:rPr>
        <w:commentReference w:id="5"/>
      </w:r>
      <w:r>
        <w:rPr>
          <w:rFonts w:hint="eastAsia" w:ascii="仿宋" w:hAnsi="仿宋" w:eastAsia="仿宋" w:cs="仿宋"/>
          <w:sz w:val="28"/>
          <w:szCs w:val="28"/>
          <w:highlight w:val="none"/>
        </w:rPr>
        <w:t>：</w:t>
      </w:r>
    </w:p>
    <w:p w14:paraId="1CE6F30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采 购 人：青岛碧海水务有限公司</w:t>
      </w:r>
    </w:p>
    <w:p w14:paraId="1B8CF50E">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联 系 人：</w:t>
      </w:r>
      <w:r>
        <w:rPr>
          <w:rFonts w:hint="eastAsia" w:ascii="仿宋" w:hAnsi="仿宋" w:eastAsia="仿宋" w:cs="仿宋"/>
          <w:sz w:val="28"/>
          <w:szCs w:val="28"/>
          <w:highlight w:val="none"/>
          <w:lang w:val="en-US" w:eastAsia="zh-CN"/>
        </w:rPr>
        <w:t>侯可臻</w:t>
      </w:r>
    </w:p>
    <w:p w14:paraId="1D03E04F">
      <w:pPr>
        <w:pageBreakBefore w:val="0"/>
        <w:shd w:val="clear"/>
        <w:kinsoku/>
        <w:wordWrap/>
        <w:overflowPunct/>
        <w:autoSpaceDE/>
        <w:autoSpaceDN/>
        <w:bidi w:val="0"/>
        <w:adjustRightInd w:val="0"/>
        <w:snapToGrid w:val="0"/>
        <w:spacing w:line="360" w:lineRule="auto"/>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电    话：</w:t>
      </w:r>
      <w:r>
        <w:rPr>
          <w:rFonts w:hint="eastAsia" w:ascii="仿宋" w:hAnsi="仿宋" w:eastAsia="仿宋" w:cs="仿宋"/>
          <w:sz w:val="28"/>
          <w:szCs w:val="28"/>
          <w:highlight w:val="none"/>
          <w:lang w:val="en-US" w:eastAsia="zh-CN"/>
        </w:rPr>
        <w:t>15753232710</w:t>
      </w:r>
    </w:p>
    <w:p w14:paraId="769C4CC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21FD0FAC">
      <w:pPr>
        <w:pageBreakBefore w:val="0"/>
        <w:shd w:val="clear"/>
        <w:kinsoku/>
        <w:wordWrap/>
        <w:overflowPunct/>
        <w:autoSpaceDE/>
        <w:autoSpaceDN/>
        <w:bidi w:val="0"/>
        <w:adjustRightInd w:val="0"/>
        <w:snapToGrid w:val="0"/>
        <w:spacing w:line="360" w:lineRule="auto"/>
        <w:ind w:firstLine="560" w:firstLineChars="200"/>
        <w:jc w:val="righ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青岛碧海水务有限公司</w:t>
      </w:r>
    </w:p>
    <w:p w14:paraId="34315740">
      <w:pPr>
        <w:pageBreakBefore w:val="0"/>
        <w:shd w:val="clear"/>
        <w:kinsoku/>
        <w:wordWrap/>
        <w:overflowPunct/>
        <w:autoSpaceDE/>
        <w:autoSpaceDN/>
        <w:bidi w:val="0"/>
        <w:adjustRightInd w:val="0"/>
        <w:snapToGrid w:val="0"/>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                                        2026年6月16日</w:t>
      </w:r>
    </w:p>
    <w:p w14:paraId="4AC1FD6A">
      <w:pPr>
        <w:pStyle w:val="8"/>
        <w:tabs>
          <w:tab w:val="left" w:pos="945"/>
        </w:tabs>
        <w:spacing w:before="69" w:line="360" w:lineRule="auto"/>
        <w:ind w:right="141" w:firstLine="430"/>
        <w:rPr>
          <w:rFonts w:hint="eastAsia" w:ascii="仿宋" w:hAnsi="仿宋" w:eastAsia="仿宋" w:cs="仿宋"/>
          <w:b/>
          <w:bCs/>
          <w:spacing w:val="5"/>
          <w:sz w:val="28"/>
          <w:szCs w:val="28"/>
          <w:highlight w:val="none"/>
        </w:rPr>
      </w:pPr>
      <w:r>
        <w:rPr>
          <w:rFonts w:hint="eastAsia" w:ascii="仿宋" w:hAnsi="仿宋" w:eastAsia="仿宋" w:cs="仿宋"/>
          <w:b/>
          <w:bCs/>
          <w:spacing w:val="5"/>
          <w:sz w:val="28"/>
          <w:szCs w:val="28"/>
          <w:highlight w:val="none"/>
        </w:rPr>
        <w:t xml:space="preserve">  </w:t>
      </w:r>
      <w:bookmarkEnd w:id="0"/>
    </w:p>
    <w:p w14:paraId="2A14BB45">
      <w:pPr>
        <w:pStyle w:val="8"/>
        <w:tabs>
          <w:tab w:val="left" w:pos="945"/>
        </w:tabs>
        <w:spacing w:before="69" w:line="360" w:lineRule="auto"/>
        <w:ind w:right="141" w:firstLine="430"/>
        <w:rPr>
          <w:rFonts w:hint="eastAsia" w:ascii="仿宋" w:hAnsi="仿宋" w:eastAsia="仿宋" w:cs="仿宋"/>
          <w:b/>
          <w:bCs/>
          <w:spacing w:val="5"/>
          <w:sz w:val="28"/>
          <w:szCs w:val="28"/>
          <w:highlight w:val="none"/>
        </w:rPr>
      </w:pPr>
    </w:p>
    <w:p w14:paraId="2B4220D5">
      <w:pPr>
        <w:rPr>
          <w:rFonts w:hint="eastAsia" w:ascii="仿宋" w:hAnsi="仿宋" w:eastAsia="仿宋" w:cs="仿宋"/>
          <w:b/>
          <w:bCs/>
          <w:spacing w:val="5"/>
          <w:sz w:val="28"/>
          <w:szCs w:val="28"/>
          <w:highlight w:val="none"/>
        </w:rPr>
      </w:pPr>
    </w:p>
    <w:p w14:paraId="34BEECD3">
      <w:pPr>
        <w:rPr>
          <w:rFonts w:hint="eastAsia" w:ascii="仿宋" w:hAnsi="仿宋" w:eastAsia="仿宋" w:cs="仿宋"/>
          <w:b/>
          <w:bCs/>
          <w:spacing w:val="5"/>
          <w:sz w:val="28"/>
          <w:szCs w:val="28"/>
          <w:highlight w:val="none"/>
        </w:rPr>
      </w:pPr>
    </w:p>
    <w:p w14:paraId="14124F95">
      <w:pPr>
        <w:rPr>
          <w:rFonts w:hint="eastAsia" w:ascii="仿宋" w:hAnsi="仿宋" w:eastAsia="仿宋" w:cs="仿宋"/>
          <w:b/>
          <w:bCs/>
          <w:spacing w:val="5"/>
          <w:sz w:val="28"/>
          <w:szCs w:val="28"/>
          <w:highlight w:val="none"/>
        </w:rPr>
      </w:pPr>
    </w:p>
    <w:p w14:paraId="4674D0DF">
      <w:pPr>
        <w:rPr>
          <w:rFonts w:hint="eastAsia" w:ascii="仿宋" w:hAnsi="仿宋" w:eastAsia="仿宋" w:cs="仿宋"/>
          <w:b/>
          <w:bCs/>
          <w:spacing w:val="5"/>
          <w:sz w:val="28"/>
          <w:szCs w:val="28"/>
          <w:highlight w:val="none"/>
        </w:rPr>
      </w:pPr>
    </w:p>
    <w:p w14:paraId="723B720E">
      <w:pPr>
        <w:rPr>
          <w:rFonts w:hint="eastAsia" w:ascii="仿宋" w:hAnsi="仿宋" w:eastAsia="仿宋" w:cs="仿宋"/>
          <w:b/>
          <w:bCs/>
          <w:spacing w:val="5"/>
          <w:sz w:val="28"/>
          <w:szCs w:val="28"/>
          <w:highlight w:val="none"/>
        </w:rPr>
      </w:pPr>
    </w:p>
    <w:p w14:paraId="4E866DC4">
      <w:pPr>
        <w:rPr>
          <w:rFonts w:hint="eastAsia" w:ascii="仿宋" w:hAnsi="仿宋" w:eastAsia="仿宋" w:cs="仿宋"/>
          <w:b/>
          <w:bCs/>
          <w:spacing w:val="5"/>
          <w:sz w:val="28"/>
          <w:szCs w:val="28"/>
          <w:highlight w:val="none"/>
        </w:rPr>
      </w:pPr>
    </w:p>
    <w:p w14:paraId="7C6CD5D2">
      <w:pPr>
        <w:rPr>
          <w:rFonts w:hint="eastAsia" w:ascii="仿宋" w:hAnsi="仿宋" w:eastAsia="仿宋" w:cs="仿宋"/>
          <w:b/>
          <w:bCs/>
          <w:spacing w:val="5"/>
          <w:sz w:val="28"/>
          <w:szCs w:val="28"/>
          <w:highlight w:val="none"/>
        </w:rPr>
      </w:pPr>
    </w:p>
    <w:p w14:paraId="293F1EDC">
      <w:pPr>
        <w:rPr>
          <w:rFonts w:hint="eastAsia" w:ascii="仿宋" w:hAnsi="仿宋" w:eastAsia="仿宋" w:cs="仿宋"/>
          <w:b/>
          <w:bCs/>
          <w:spacing w:val="5"/>
          <w:sz w:val="28"/>
          <w:szCs w:val="28"/>
          <w:highlight w:val="none"/>
        </w:rPr>
      </w:pPr>
    </w:p>
    <w:p w14:paraId="67D5539C">
      <w:pPr>
        <w:rPr>
          <w:rFonts w:hint="eastAsia" w:ascii="仿宋" w:hAnsi="仿宋" w:eastAsia="仿宋" w:cs="仿宋"/>
          <w:b/>
          <w:bCs/>
          <w:spacing w:val="5"/>
          <w:sz w:val="28"/>
          <w:szCs w:val="28"/>
          <w:highlight w:val="none"/>
        </w:rPr>
      </w:pPr>
    </w:p>
    <w:p w14:paraId="272BD1BF">
      <w:pPr>
        <w:rPr>
          <w:rFonts w:hint="eastAsia" w:ascii="仿宋" w:hAnsi="仿宋" w:eastAsia="仿宋" w:cs="仿宋"/>
          <w:b/>
          <w:bCs/>
          <w:spacing w:val="5"/>
          <w:sz w:val="28"/>
          <w:szCs w:val="28"/>
          <w:highlight w:val="none"/>
        </w:rPr>
      </w:pPr>
    </w:p>
    <w:p w14:paraId="52076C62">
      <w:pPr>
        <w:rPr>
          <w:rFonts w:hint="eastAsia" w:ascii="仿宋" w:hAnsi="仿宋" w:eastAsia="仿宋" w:cs="仿宋"/>
          <w:b/>
          <w:bCs/>
          <w:spacing w:val="5"/>
          <w:sz w:val="28"/>
          <w:szCs w:val="28"/>
          <w:highlight w:val="none"/>
        </w:rPr>
      </w:pPr>
    </w:p>
    <w:p w14:paraId="3D481D71">
      <w:pPr>
        <w:rPr>
          <w:rFonts w:hint="eastAsia" w:ascii="仿宋" w:hAnsi="仿宋" w:eastAsia="仿宋" w:cs="仿宋"/>
          <w:b/>
          <w:bCs/>
          <w:spacing w:val="5"/>
          <w:sz w:val="28"/>
          <w:szCs w:val="28"/>
          <w:highlight w:val="none"/>
        </w:rPr>
      </w:pPr>
    </w:p>
    <w:p w14:paraId="4412B35D">
      <w:pPr>
        <w:rPr>
          <w:rFonts w:hint="eastAsia" w:ascii="仿宋" w:hAnsi="仿宋" w:eastAsia="仿宋" w:cs="仿宋"/>
          <w:b/>
          <w:bCs/>
          <w:spacing w:val="5"/>
          <w:sz w:val="28"/>
          <w:szCs w:val="28"/>
          <w:highlight w:val="none"/>
        </w:rPr>
      </w:pPr>
    </w:p>
    <w:p w14:paraId="760C54C9">
      <w:pPr>
        <w:pStyle w:val="8"/>
        <w:tabs>
          <w:tab w:val="left" w:pos="945"/>
        </w:tabs>
        <w:spacing w:before="69" w:line="360" w:lineRule="auto"/>
        <w:ind w:right="141"/>
        <w:rPr>
          <w:rFonts w:hint="eastAsia" w:ascii="仿宋" w:hAnsi="仿宋" w:eastAsia="仿宋" w:cs="仿宋"/>
          <w:b/>
          <w:bCs/>
          <w:spacing w:val="5"/>
          <w:sz w:val="28"/>
          <w:szCs w:val="28"/>
          <w:highlight w:val="none"/>
        </w:rPr>
      </w:pPr>
    </w:p>
    <w:p w14:paraId="61241EC9">
      <w:pPr>
        <w:pageBreakBefore w:val="0"/>
        <w:numPr>
          <w:ilvl w:val="0"/>
          <w:numId w:val="4"/>
        </w:numPr>
        <w:shd w:val="clear"/>
        <w:kinsoku/>
        <w:wordWrap/>
        <w:overflowPunct/>
        <w:autoSpaceDE/>
        <w:autoSpaceDN/>
        <w:bidi w:val="0"/>
        <w:adjustRightInd w:val="0"/>
        <w:snapToGrid w:val="0"/>
        <w:spacing w:line="360" w:lineRule="auto"/>
        <w:ind w:firstLine="723" w:firstLineChars="200"/>
        <w:jc w:val="center"/>
        <w:textAlignment w:val="auto"/>
        <w:rPr>
          <w:rFonts w:hint="eastAsia" w:ascii="仿宋" w:hAnsi="仿宋" w:eastAsia="仿宋" w:cs="仿宋"/>
          <w:b/>
          <w:bCs/>
          <w:sz w:val="36"/>
          <w:szCs w:val="36"/>
          <w:highlight w:val="none"/>
        </w:rPr>
      </w:pPr>
      <w:bookmarkStart w:id="2" w:name="_Toc16275"/>
      <w:r>
        <w:rPr>
          <w:rFonts w:hint="eastAsia" w:ascii="仿宋" w:hAnsi="仿宋" w:eastAsia="仿宋" w:cs="仿宋"/>
          <w:b/>
          <w:bCs/>
          <w:sz w:val="36"/>
          <w:szCs w:val="36"/>
          <w:highlight w:val="none"/>
        </w:rPr>
        <w:t>投标须知</w:t>
      </w:r>
      <w:bookmarkStart w:id="3" w:name="_Toc227423102"/>
      <w:bookmarkStart w:id="4" w:name="_Toc291506255"/>
      <w:bookmarkStart w:id="5" w:name="_Toc24773"/>
    </w:p>
    <w:p w14:paraId="57CE4236">
      <w:pPr>
        <w:spacing w:before="101" w:line="224" w:lineRule="auto"/>
        <w:outlineLvl w:val="1"/>
        <w:rPr>
          <w:rFonts w:hint="eastAsia" w:ascii="宋体" w:hAnsi="宋体" w:eastAsia="宋体" w:cs="宋体"/>
          <w:sz w:val="31"/>
          <w:szCs w:val="31"/>
          <w:highlight w:val="none"/>
        </w:rPr>
      </w:pPr>
      <w:bookmarkStart w:id="6" w:name="_Toc3025"/>
      <w:r>
        <w:rPr>
          <w:rFonts w:hint="eastAsia" w:ascii="宋体" w:hAnsi="宋体" w:eastAsia="宋体" w:cs="宋体"/>
          <w:b/>
          <w:bCs/>
          <w:spacing w:val="6"/>
          <w:sz w:val="31"/>
          <w:szCs w:val="31"/>
          <w:highlight w:val="none"/>
        </w:rPr>
        <w:t>投标人须知前附表</w:t>
      </w:r>
      <w:bookmarkEnd w:id="6"/>
    </w:p>
    <w:p w14:paraId="1A5406FE">
      <w:pPr>
        <w:spacing w:before="33"/>
        <w:rPr>
          <w:rFonts w:hint="eastAsia" w:ascii="宋体" w:hAnsi="宋体" w:eastAsia="宋体" w:cs="宋体"/>
          <w:highlight w:val="none"/>
        </w:rPr>
      </w:pPr>
    </w:p>
    <w:tbl>
      <w:tblPr>
        <w:tblStyle w:val="22"/>
        <w:tblW w:w="9750" w:type="dxa"/>
        <w:tblInd w:w="-3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3"/>
        <w:gridCol w:w="2109"/>
        <w:gridCol w:w="6208"/>
      </w:tblGrid>
      <w:tr w14:paraId="5A01E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5F008A1F">
            <w:pPr>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条款号</w:t>
            </w:r>
          </w:p>
        </w:tc>
        <w:tc>
          <w:tcPr>
            <w:tcW w:w="2109" w:type="dxa"/>
            <w:vAlign w:val="center"/>
          </w:tcPr>
          <w:p w14:paraId="60E89FBF">
            <w:pPr>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条 款 名 称</w:t>
            </w:r>
          </w:p>
        </w:tc>
        <w:tc>
          <w:tcPr>
            <w:tcW w:w="6208" w:type="dxa"/>
            <w:vAlign w:val="center"/>
          </w:tcPr>
          <w:p w14:paraId="648F1B8D">
            <w:pPr>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编 列 内 容</w:t>
            </w:r>
          </w:p>
        </w:tc>
      </w:tr>
      <w:tr w14:paraId="7213E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32A3E9F0">
            <w:pPr>
              <w:spacing w:before="210" w:line="195" w:lineRule="auto"/>
              <w:jc w:val="center"/>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1</w:t>
            </w:r>
          </w:p>
        </w:tc>
        <w:tc>
          <w:tcPr>
            <w:tcW w:w="2109" w:type="dxa"/>
            <w:vAlign w:val="center"/>
          </w:tcPr>
          <w:p w14:paraId="79913D0F">
            <w:pPr>
              <w:pStyle w:val="23"/>
              <w:spacing w:before="65" w:line="227" w:lineRule="auto"/>
              <w:jc w:val="center"/>
              <w:rPr>
                <w:rFonts w:hint="eastAsia" w:ascii="宋体" w:hAnsi="宋体" w:eastAsia="宋体" w:cs="宋体"/>
                <w:spacing w:val="8"/>
                <w:highlight w:val="none"/>
              </w:rPr>
            </w:pPr>
            <w:r>
              <w:rPr>
                <w:rFonts w:hint="eastAsia" w:ascii="宋体" w:hAnsi="宋体" w:eastAsia="宋体" w:cs="宋体"/>
                <w:spacing w:val="8"/>
                <w:highlight w:val="none"/>
              </w:rPr>
              <w:t>项目名称</w:t>
            </w:r>
          </w:p>
        </w:tc>
        <w:tc>
          <w:tcPr>
            <w:tcW w:w="6208" w:type="dxa"/>
            <w:vAlign w:val="center"/>
          </w:tcPr>
          <w:p w14:paraId="36CA5009">
            <w:pPr>
              <w:spacing w:line="255" w:lineRule="auto"/>
              <w:jc w:val="left"/>
              <w:rPr>
                <w:rFonts w:hint="default" w:ascii="宋体" w:hAnsi="宋体" w:eastAsia="宋体" w:cs="宋体"/>
                <w:sz w:val="21"/>
                <w:szCs w:val="21"/>
                <w:highlight w:val="none"/>
                <w:lang w:val="en-US" w:eastAsia="zh-CN"/>
              </w:rPr>
            </w:pPr>
            <w:r>
              <w:rPr>
                <w:rFonts w:hint="eastAsia" w:ascii="仿宋" w:hAnsi="仿宋" w:eastAsia="仿宋" w:cs="仿宋"/>
                <w:b w:val="0"/>
                <w:bCs w:val="0"/>
                <w:sz w:val="21"/>
                <w:szCs w:val="21"/>
                <w:highlight w:val="none"/>
                <w:u w:val="single"/>
                <w:lang w:val="en-US" w:eastAsia="zh-CN"/>
              </w:rPr>
              <w:t>两水厂电子围栏采购安装服务</w:t>
            </w:r>
          </w:p>
        </w:tc>
      </w:tr>
      <w:tr w14:paraId="6C258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3B9B1CAC">
            <w:pPr>
              <w:spacing w:before="211" w:line="195" w:lineRule="auto"/>
              <w:jc w:val="center"/>
              <w:rPr>
                <w:rFonts w:hint="eastAsia" w:ascii="宋体" w:hAnsi="宋体" w:eastAsia="宋体" w:cs="宋体"/>
                <w:sz w:val="20"/>
                <w:szCs w:val="20"/>
                <w:highlight w:val="none"/>
                <w:lang w:eastAsia="zh-CN"/>
              </w:rPr>
            </w:pPr>
            <w:r>
              <w:rPr>
                <w:rFonts w:hint="eastAsia" w:ascii="宋体" w:hAnsi="宋体" w:eastAsia="宋体" w:cs="宋体"/>
                <w:spacing w:val="-6"/>
                <w:sz w:val="20"/>
                <w:szCs w:val="20"/>
                <w:highlight w:val="none"/>
                <w:lang w:val="en-US" w:eastAsia="zh-CN"/>
              </w:rPr>
              <w:t>2</w:t>
            </w:r>
          </w:p>
        </w:tc>
        <w:tc>
          <w:tcPr>
            <w:tcW w:w="2109" w:type="dxa"/>
            <w:vAlign w:val="center"/>
          </w:tcPr>
          <w:p w14:paraId="1E81889F">
            <w:pPr>
              <w:pStyle w:val="23"/>
              <w:spacing w:before="65" w:line="227" w:lineRule="auto"/>
              <w:jc w:val="center"/>
              <w:rPr>
                <w:rFonts w:hint="eastAsia" w:ascii="宋体" w:hAnsi="宋体" w:eastAsia="宋体" w:cs="宋体"/>
                <w:spacing w:val="8"/>
                <w:highlight w:val="none"/>
              </w:rPr>
            </w:pPr>
            <w:r>
              <w:rPr>
                <w:rFonts w:hint="eastAsia" w:ascii="宋体" w:hAnsi="宋体" w:eastAsia="宋体" w:cs="宋体"/>
                <w:spacing w:val="8"/>
                <w:highlight w:val="none"/>
              </w:rPr>
              <w:t>建设地点</w:t>
            </w:r>
          </w:p>
        </w:tc>
        <w:tc>
          <w:tcPr>
            <w:tcW w:w="6208" w:type="dxa"/>
            <w:vAlign w:val="center"/>
          </w:tcPr>
          <w:p w14:paraId="195FBC79">
            <w:pPr>
              <w:spacing w:line="255"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青岛市黄岛区</w:t>
            </w:r>
          </w:p>
        </w:tc>
      </w:tr>
      <w:tr w14:paraId="5B54C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1C525299">
            <w:pPr>
              <w:spacing w:before="211" w:line="195" w:lineRule="auto"/>
              <w:jc w:val="center"/>
              <w:rPr>
                <w:rFonts w:hint="eastAsia" w:ascii="宋体" w:hAnsi="宋体" w:eastAsia="宋体" w:cs="宋体"/>
                <w:sz w:val="20"/>
                <w:szCs w:val="20"/>
                <w:highlight w:val="none"/>
                <w:lang w:eastAsia="zh-CN"/>
              </w:rPr>
            </w:pPr>
            <w:r>
              <w:rPr>
                <w:rFonts w:hint="eastAsia" w:ascii="宋体" w:hAnsi="宋体" w:eastAsia="宋体" w:cs="宋体"/>
                <w:spacing w:val="-2"/>
                <w:sz w:val="20"/>
                <w:szCs w:val="20"/>
                <w:highlight w:val="none"/>
                <w:lang w:val="en-US" w:eastAsia="zh-CN"/>
              </w:rPr>
              <w:t>3</w:t>
            </w:r>
          </w:p>
        </w:tc>
        <w:tc>
          <w:tcPr>
            <w:tcW w:w="2109" w:type="dxa"/>
            <w:vAlign w:val="center"/>
          </w:tcPr>
          <w:p w14:paraId="355CD7A3">
            <w:pPr>
              <w:pStyle w:val="23"/>
              <w:spacing w:before="65" w:line="227" w:lineRule="auto"/>
              <w:jc w:val="center"/>
              <w:rPr>
                <w:rFonts w:hint="eastAsia" w:ascii="宋体" w:hAnsi="宋体" w:eastAsia="宋体" w:cs="宋体"/>
                <w:spacing w:val="8"/>
                <w:highlight w:val="none"/>
              </w:rPr>
            </w:pPr>
            <w:r>
              <w:rPr>
                <w:rFonts w:hint="eastAsia" w:ascii="宋体" w:hAnsi="宋体" w:eastAsia="宋体" w:cs="宋体"/>
                <w:spacing w:val="8"/>
                <w:highlight w:val="none"/>
                <w:lang w:val="en-US" w:eastAsia="zh-CN"/>
              </w:rPr>
              <w:t>采购</w:t>
            </w:r>
            <w:r>
              <w:rPr>
                <w:rFonts w:hint="eastAsia" w:ascii="宋体" w:hAnsi="宋体" w:eastAsia="宋体" w:cs="宋体"/>
                <w:spacing w:val="8"/>
                <w:highlight w:val="none"/>
              </w:rPr>
              <w:t>范围</w:t>
            </w:r>
          </w:p>
        </w:tc>
        <w:tc>
          <w:tcPr>
            <w:tcW w:w="6208" w:type="dxa"/>
            <w:vAlign w:val="center"/>
          </w:tcPr>
          <w:p w14:paraId="5EF194BF">
            <w:pPr>
              <w:rPr>
                <w:rFonts w:hint="default" w:ascii="宋体" w:hAnsi="宋体" w:eastAsia="宋体" w:cs="宋体"/>
                <w:spacing w:val="8"/>
                <w:sz w:val="20"/>
                <w:szCs w:val="20"/>
                <w:highlight w:val="none"/>
                <w:lang w:val="en-US" w:eastAsia="zh-CN"/>
              </w:rPr>
            </w:pPr>
            <w:r>
              <w:rPr>
                <w:rFonts w:hint="eastAsia" w:ascii="宋体" w:hAnsi="宋体" w:eastAsia="宋体" w:cs="宋体"/>
                <w:spacing w:val="2"/>
                <w:highlight w:val="none"/>
                <w:lang w:val="en-US" w:eastAsia="zh-CN"/>
              </w:rPr>
              <w:t>见询价函</w:t>
            </w:r>
          </w:p>
        </w:tc>
      </w:tr>
      <w:tr w14:paraId="2FFF8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17D00D42">
            <w:pPr>
              <w:spacing w:before="211" w:line="195" w:lineRule="auto"/>
              <w:jc w:val="center"/>
              <w:rPr>
                <w:rFonts w:hint="eastAsia" w:ascii="宋体" w:hAnsi="宋体" w:eastAsia="宋体" w:cs="宋体"/>
                <w:spacing w:val="-2"/>
                <w:sz w:val="20"/>
                <w:szCs w:val="20"/>
                <w:highlight w:val="none"/>
                <w:lang w:eastAsia="zh-CN"/>
              </w:rPr>
            </w:pPr>
            <w:r>
              <w:rPr>
                <w:rFonts w:hint="eastAsia" w:ascii="宋体" w:hAnsi="宋体" w:eastAsia="宋体" w:cs="宋体"/>
                <w:spacing w:val="-2"/>
                <w:sz w:val="20"/>
                <w:szCs w:val="20"/>
                <w:highlight w:val="none"/>
                <w:lang w:val="en-US" w:eastAsia="zh-CN"/>
              </w:rPr>
              <w:t>4</w:t>
            </w:r>
          </w:p>
        </w:tc>
        <w:tc>
          <w:tcPr>
            <w:tcW w:w="2109" w:type="dxa"/>
            <w:vAlign w:val="center"/>
          </w:tcPr>
          <w:p w14:paraId="096CD336">
            <w:pPr>
              <w:pStyle w:val="23"/>
              <w:spacing w:before="65" w:line="227" w:lineRule="auto"/>
              <w:jc w:val="center"/>
              <w:rPr>
                <w:rFonts w:hint="eastAsia" w:ascii="宋体" w:hAnsi="宋体" w:eastAsia="宋体" w:cs="宋体"/>
                <w:spacing w:val="8"/>
                <w:highlight w:val="none"/>
              </w:rPr>
            </w:pPr>
            <w:r>
              <w:rPr>
                <w:rFonts w:hint="eastAsia" w:ascii="宋体" w:hAnsi="宋体" w:eastAsia="宋体" w:cs="宋体"/>
                <w:spacing w:val="8"/>
                <w:highlight w:val="none"/>
              </w:rPr>
              <w:t>交货期</w:t>
            </w:r>
          </w:p>
        </w:tc>
        <w:tc>
          <w:tcPr>
            <w:tcW w:w="6208" w:type="dxa"/>
            <w:vAlign w:val="center"/>
          </w:tcPr>
          <w:p w14:paraId="70ACD576">
            <w:pPr>
              <w:pStyle w:val="23"/>
              <w:spacing w:before="31" w:line="298" w:lineRule="auto"/>
              <w:ind w:left="132" w:hanging="2"/>
              <w:rPr>
                <w:rFonts w:hint="eastAsia" w:ascii="宋体" w:hAnsi="宋体" w:eastAsia="宋体" w:cs="宋体"/>
                <w:highlight w:val="none"/>
                <w:lang w:eastAsia="zh-CN"/>
              </w:rPr>
            </w:pPr>
            <w:r>
              <w:rPr>
                <w:rFonts w:hint="eastAsia" w:ascii="宋体" w:hAnsi="宋体" w:eastAsia="宋体" w:cs="宋体"/>
                <w:spacing w:val="3"/>
                <w:highlight w:val="none"/>
                <w:lang w:val="en-US" w:eastAsia="zh-CN"/>
              </w:rPr>
              <w:t>供货</w:t>
            </w:r>
            <w:r>
              <w:rPr>
                <w:rFonts w:hint="eastAsia" w:ascii="宋体" w:hAnsi="宋体" w:eastAsia="宋体" w:cs="宋体"/>
                <w:spacing w:val="3"/>
                <w:highlight w:val="none"/>
              </w:rPr>
              <w:t>期为</w:t>
            </w:r>
            <w:r>
              <w:rPr>
                <w:rFonts w:hint="eastAsia" w:ascii="宋体" w:hAnsi="宋体" w:eastAsia="宋体" w:cs="宋体"/>
                <w:spacing w:val="3"/>
                <w:highlight w:val="none"/>
                <w:lang w:val="en-US" w:eastAsia="zh-CN"/>
              </w:rPr>
              <w:t>30</w:t>
            </w:r>
            <w:r>
              <w:rPr>
                <w:rFonts w:hint="eastAsia" w:ascii="宋体" w:hAnsi="宋体" w:eastAsia="宋体" w:cs="宋体"/>
                <w:spacing w:val="3"/>
                <w:highlight w:val="none"/>
              </w:rPr>
              <w:t>日历天</w:t>
            </w:r>
            <w:r>
              <w:rPr>
                <w:rFonts w:hint="eastAsia" w:ascii="宋体" w:hAnsi="宋体" w:eastAsia="宋体" w:cs="宋体"/>
                <w:spacing w:val="2"/>
                <w:highlight w:val="none"/>
              </w:rPr>
              <w:t>，具体供</w:t>
            </w:r>
            <w:r>
              <w:rPr>
                <w:rFonts w:hint="eastAsia" w:ascii="宋体" w:hAnsi="宋体" w:eastAsia="宋体" w:cs="宋体"/>
                <w:spacing w:val="-3"/>
                <w:highlight w:val="none"/>
              </w:rPr>
              <w:t>货日期以买方通知为准。</w:t>
            </w:r>
          </w:p>
        </w:tc>
      </w:tr>
      <w:tr w14:paraId="25BB3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79ECEB0E">
            <w:pPr>
              <w:spacing w:before="211" w:line="195" w:lineRule="auto"/>
              <w:jc w:val="center"/>
              <w:rPr>
                <w:rFonts w:hint="eastAsia" w:ascii="宋体" w:hAnsi="宋体" w:eastAsia="宋体" w:cs="宋体"/>
                <w:spacing w:val="-2"/>
                <w:sz w:val="20"/>
                <w:szCs w:val="20"/>
                <w:highlight w:val="none"/>
                <w:lang w:val="en-US" w:eastAsia="zh-CN"/>
              </w:rPr>
            </w:pPr>
            <w:r>
              <w:rPr>
                <w:rFonts w:hint="eastAsia" w:ascii="宋体" w:hAnsi="宋体" w:eastAsia="宋体" w:cs="宋体"/>
                <w:spacing w:val="-2"/>
                <w:sz w:val="20"/>
                <w:szCs w:val="20"/>
                <w:highlight w:val="none"/>
                <w:lang w:val="en-US" w:eastAsia="zh-CN"/>
              </w:rPr>
              <w:t>5</w:t>
            </w:r>
          </w:p>
        </w:tc>
        <w:tc>
          <w:tcPr>
            <w:tcW w:w="2109" w:type="dxa"/>
            <w:vAlign w:val="center"/>
          </w:tcPr>
          <w:p w14:paraId="1073D54A">
            <w:pPr>
              <w:pStyle w:val="23"/>
              <w:spacing w:before="65" w:line="227" w:lineRule="auto"/>
              <w:jc w:val="center"/>
              <w:rPr>
                <w:rFonts w:hint="eastAsia" w:ascii="宋体" w:hAnsi="宋体" w:eastAsia="宋体" w:cs="宋体"/>
                <w:spacing w:val="8"/>
                <w:highlight w:val="none"/>
                <w:lang w:val="en-US" w:eastAsia="zh-CN"/>
              </w:rPr>
            </w:pPr>
            <w:r>
              <w:rPr>
                <w:rFonts w:hint="eastAsia" w:ascii="宋体" w:hAnsi="宋体" w:eastAsia="宋体" w:cs="宋体"/>
                <w:spacing w:val="8"/>
                <w:highlight w:val="none"/>
                <w:lang w:val="en-US" w:eastAsia="zh-CN"/>
              </w:rPr>
              <w:t>交货地点</w:t>
            </w:r>
          </w:p>
        </w:tc>
        <w:tc>
          <w:tcPr>
            <w:tcW w:w="6208" w:type="dxa"/>
            <w:vAlign w:val="center"/>
          </w:tcPr>
          <w:p w14:paraId="5CCA58DA">
            <w:pPr>
              <w:pStyle w:val="23"/>
              <w:spacing w:before="192" w:line="240" w:lineRule="auto"/>
              <w:rPr>
                <w:rFonts w:hint="eastAsia" w:ascii="宋体" w:hAnsi="宋体" w:eastAsia="宋体" w:cs="宋体"/>
                <w:spacing w:val="3"/>
                <w:highlight w:val="none"/>
              </w:rPr>
            </w:pPr>
            <w:r>
              <w:rPr>
                <w:rFonts w:hint="eastAsia" w:ascii="宋体" w:hAnsi="宋体" w:eastAsia="宋体" w:cs="宋体"/>
                <w:spacing w:val="6"/>
                <w:highlight w:val="none"/>
                <w:lang w:eastAsia="zh-CN"/>
              </w:rPr>
              <w:t>山东省青岛市</w:t>
            </w:r>
            <w:r>
              <w:rPr>
                <w:rFonts w:hint="eastAsia" w:ascii="宋体" w:hAnsi="宋体" w:eastAsia="宋体" w:cs="宋体"/>
                <w:spacing w:val="6"/>
                <w:highlight w:val="none"/>
                <w:lang w:val="en-US" w:eastAsia="zh-CN"/>
              </w:rPr>
              <w:t>黄岛区</w:t>
            </w:r>
          </w:p>
        </w:tc>
      </w:tr>
      <w:tr w14:paraId="67E66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21231E15">
            <w:pPr>
              <w:spacing w:before="211" w:line="195" w:lineRule="auto"/>
              <w:jc w:val="center"/>
              <w:rPr>
                <w:rFonts w:hint="eastAsia" w:ascii="宋体" w:hAnsi="宋体" w:eastAsia="宋体" w:cs="宋体"/>
                <w:sz w:val="20"/>
                <w:szCs w:val="20"/>
                <w:highlight w:val="none"/>
                <w:lang w:eastAsia="zh-CN"/>
              </w:rPr>
            </w:pPr>
            <w:r>
              <w:rPr>
                <w:rFonts w:hint="eastAsia" w:ascii="宋体" w:hAnsi="宋体" w:eastAsia="宋体" w:cs="宋体"/>
                <w:spacing w:val="-1"/>
                <w:sz w:val="20"/>
                <w:szCs w:val="20"/>
                <w:highlight w:val="none"/>
                <w:lang w:val="en-US" w:eastAsia="zh-CN"/>
              </w:rPr>
              <w:t>6</w:t>
            </w:r>
          </w:p>
        </w:tc>
        <w:tc>
          <w:tcPr>
            <w:tcW w:w="2109" w:type="dxa"/>
            <w:vAlign w:val="center"/>
          </w:tcPr>
          <w:p w14:paraId="7F4F59DA">
            <w:pPr>
              <w:pStyle w:val="23"/>
              <w:spacing w:before="65" w:line="227" w:lineRule="auto"/>
              <w:jc w:val="center"/>
              <w:rPr>
                <w:rFonts w:hint="eastAsia" w:ascii="宋体" w:hAnsi="宋体" w:eastAsia="宋体" w:cs="宋体"/>
                <w:spacing w:val="8"/>
                <w:highlight w:val="none"/>
                <w:lang w:eastAsia="zh-CN"/>
              </w:rPr>
            </w:pPr>
            <w:r>
              <w:rPr>
                <w:rFonts w:hint="eastAsia" w:ascii="宋体" w:hAnsi="宋体" w:eastAsia="宋体" w:cs="宋体"/>
                <w:spacing w:val="-1"/>
                <w:sz w:val="21"/>
                <w:szCs w:val="21"/>
                <w:highlight w:val="none"/>
              </w:rPr>
              <w:t>技术性能指标</w:t>
            </w:r>
          </w:p>
        </w:tc>
        <w:tc>
          <w:tcPr>
            <w:tcW w:w="6208" w:type="dxa"/>
            <w:vAlign w:val="center"/>
          </w:tcPr>
          <w:p w14:paraId="4CDF819D">
            <w:pPr>
              <w:rPr>
                <w:rFonts w:hint="eastAsia" w:ascii="宋体" w:hAnsi="宋体" w:eastAsia="宋体" w:cs="宋体"/>
                <w:spacing w:val="8"/>
                <w:sz w:val="20"/>
                <w:szCs w:val="20"/>
                <w:highlight w:val="none"/>
                <w:lang w:eastAsia="zh-CN"/>
              </w:rPr>
            </w:pPr>
            <w:r>
              <w:rPr>
                <w:rFonts w:hint="eastAsia" w:ascii="宋体" w:hAnsi="宋体" w:eastAsia="宋体" w:cs="宋体"/>
                <w:spacing w:val="3"/>
                <w:highlight w:val="none"/>
              </w:rPr>
              <w:t>满足本项目</w:t>
            </w:r>
            <w:r>
              <w:rPr>
                <w:rFonts w:hint="eastAsia" w:ascii="宋体" w:hAnsi="宋体" w:eastAsia="宋体" w:cs="宋体"/>
                <w:spacing w:val="3"/>
                <w:highlight w:val="none"/>
                <w:lang w:val="en-US" w:eastAsia="zh-CN"/>
              </w:rPr>
              <w:t>采购</w:t>
            </w:r>
            <w:r>
              <w:rPr>
                <w:rFonts w:hint="eastAsia" w:ascii="宋体" w:hAnsi="宋体" w:eastAsia="宋体" w:cs="宋体"/>
                <w:spacing w:val="3"/>
                <w:highlight w:val="none"/>
              </w:rPr>
              <w:t>文件、相关法律法规及规范要求。</w:t>
            </w:r>
          </w:p>
        </w:tc>
      </w:tr>
      <w:tr w14:paraId="20706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4613E7D1">
            <w:pPr>
              <w:spacing w:line="249" w:lineRule="auto"/>
              <w:jc w:val="center"/>
              <w:rPr>
                <w:rFonts w:hint="eastAsia" w:ascii="宋体" w:hAnsi="宋体" w:eastAsia="宋体" w:cs="宋体"/>
                <w:sz w:val="20"/>
                <w:szCs w:val="20"/>
                <w:highlight w:val="none"/>
              </w:rPr>
            </w:pPr>
          </w:p>
          <w:p w14:paraId="6753E283">
            <w:pPr>
              <w:spacing w:before="58" w:line="195" w:lineRule="auto"/>
              <w:jc w:val="center"/>
              <w:rPr>
                <w:rFonts w:hint="eastAsia" w:ascii="宋体" w:hAnsi="宋体" w:eastAsia="宋体" w:cs="宋体"/>
                <w:sz w:val="20"/>
                <w:szCs w:val="20"/>
                <w:highlight w:val="none"/>
                <w:lang w:eastAsia="zh-CN"/>
              </w:rPr>
            </w:pPr>
            <w:r>
              <w:rPr>
                <w:rFonts w:hint="eastAsia" w:ascii="宋体" w:hAnsi="宋体" w:eastAsia="宋体" w:cs="宋体"/>
                <w:spacing w:val="-2"/>
                <w:sz w:val="20"/>
                <w:szCs w:val="20"/>
                <w:highlight w:val="none"/>
                <w:lang w:val="en-US" w:eastAsia="zh-CN"/>
              </w:rPr>
              <w:t>7</w:t>
            </w:r>
          </w:p>
        </w:tc>
        <w:tc>
          <w:tcPr>
            <w:tcW w:w="2109" w:type="dxa"/>
            <w:vAlign w:val="center"/>
          </w:tcPr>
          <w:p w14:paraId="27BFC01E">
            <w:pPr>
              <w:pStyle w:val="23"/>
              <w:spacing w:before="65" w:line="227" w:lineRule="auto"/>
              <w:jc w:val="center"/>
              <w:rPr>
                <w:rFonts w:hint="default" w:ascii="宋体" w:hAnsi="宋体" w:eastAsia="宋体" w:cs="宋体"/>
                <w:spacing w:val="8"/>
                <w:highlight w:val="none"/>
                <w:lang w:val="en-US" w:eastAsia="zh-CN"/>
              </w:rPr>
            </w:pPr>
            <w:r>
              <w:rPr>
                <w:rFonts w:hint="eastAsia" w:ascii="宋体" w:hAnsi="宋体" w:eastAsia="宋体" w:cs="宋体"/>
                <w:spacing w:val="8"/>
                <w:highlight w:val="none"/>
                <w:lang w:eastAsia="zh-CN"/>
              </w:rPr>
              <w:t>投标人资质条件、能力和信誉</w:t>
            </w:r>
            <w:r>
              <w:rPr>
                <w:rFonts w:hint="eastAsia" w:cs="宋体"/>
                <w:spacing w:val="8"/>
                <w:highlight w:val="none"/>
                <w:lang w:eastAsia="zh-CN"/>
              </w:rPr>
              <w:t>、</w:t>
            </w:r>
            <w:r>
              <w:rPr>
                <w:rFonts w:hint="eastAsia" w:cs="宋体"/>
                <w:spacing w:val="8"/>
                <w:highlight w:val="none"/>
                <w:lang w:val="en-US" w:eastAsia="zh-CN"/>
              </w:rPr>
              <w:t>业绩</w:t>
            </w:r>
          </w:p>
        </w:tc>
        <w:tc>
          <w:tcPr>
            <w:tcW w:w="6208" w:type="dxa"/>
            <w:vAlign w:val="center"/>
          </w:tcPr>
          <w:p w14:paraId="78796F69">
            <w:pPr>
              <w:spacing w:line="298" w:lineRule="auto"/>
              <w:outlineLvl w:val="2"/>
              <w:rPr>
                <w:rFonts w:hint="eastAsia" w:ascii="宋体" w:hAnsi="宋体" w:eastAsia="宋体" w:cs="宋体"/>
                <w:highlight w:val="none"/>
                <w:lang w:val="en-US" w:eastAsia="zh-CN"/>
              </w:rPr>
            </w:pPr>
            <w:bookmarkStart w:id="7" w:name="_Toc26832"/>
            <w:r>
              <w:rPr>
                <w:rFonts w:hint="eastAsia" w:ascii="宋体" w:hAnsi="宋体" w:eastAsia="宋体" w:cs="宋体"/>
                <w:highlight w:val="none"/>
                <w:lang w:val="en-US" w:eastAsia="zh-CN"/>
              </w:rPr>
              <w:t>详见</w:t>
            </w:r>
            <w:bookmarkEnd w:id="7"/>
            <w:r>
              <w:rPr>
                <w:rFonts w:hint="eastAsia" w:ascii="宋体" w:hAnsi="宋体" w:eastAsia="宋体" w:cs="宋体"/>
                <w:highlight w:val="none"/>
                <w:lang w:val="en-US" w:eastAsia="zh-CN"/>
              </w:rPr>
              <w:t>询价函</w:t>
            </w:r>
          </w:p>
        </w:tc>
      </w:tr>
      <w:tr w14:paraId="4B10B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2B428089">
            <w:pPr>
              <w:spacing w:before="57" w:line="195" w:lineRule="auto"/>
              <w:jc w:val="center"/>
              <w:rPr>
                <w:rFonts w:hint="eastAsia" w:ascii="宋体" w:hAnsi="宋体" w:eastAsia="宋体" w:cs="宋体"/>
                <w:sz w:val="20"/>
                <w:szCs w:val="20"/>
                <w:highlight w:val="none"/>
                <w:lang w:eastAsia="zh-CN"/>
              </w:rPr>
            </w:pPr>
            <w:r>
              <w:rPr>
                <w:rFonts w:hint="eastAsia" w:ascii="宋体" w:hAnsi="宋体" w:eastAsia="宋体" w:cs="宋体"/>
                <w:spacing w:val="-1"/>
                <w:sz w:val="20"/>
                <w:szCs w:val="20"/>
                <w:highlight w:val="none"/>
                <w:lang w:val="en-US" w:eastAsia="zh-CN"/>
              </w:rPr>
              <w:t>8</w:t>
            </w:r>
          </w:p>
        </w:tc>
        <w:tc>
          <w:tcPr>
            <w:tcW w:w="2109" w:type="dxa"/>
            <w:vAlign w:val="center"/>
          </w:tcPr>
          <w:p w14:paraId="1D8C599A">
            <w:pPr>
              <w:pStyle w:val="23"/>
              <w:spacing w:before="65" w:line="227" w:lineRule="auto"/>
              <w:jc w:val="center"/>
              <w:rPr>
                <w:rFonts w:hint="eastAsia" w:ascii="宋体" w:hAnsi="宋体" w:eastAsia="宋体" w:cs="宋体"/>
                <w:spacing w:val="8"/>
                <w:highlight w:val="none"/>
              </w:rPr>
            </w:pPr>
            <w:r>
              <w:rPr>
                <w:rFonts w:hint="eastAsia" w:ascii="宋体" w:hAnsi="宋体" w:eastAsia="宋体" w:cs="宋体"/>
                <w:spacing w:val="8"/>
                <w:highlight w:val="none"/>
              </w:rPr>
              <w:t>是否接受联合体投标</w:t>
            </w:r>
          </w:p>
        </w:tc>
        <w:tc>
          <w:tcPr>
            <w:tcW w:w="6208" w:type="dxa"/>
            <w:vAlign w:val="center"/>
          </w:tcPr>
          <w:p w14:paraId="6F64FD23">
            <w:pPr>
              <w:jc w:val="both"/>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☑不接受</w:t>
            </w:r>
          </w:p>
        </w:tc>
      </w:tr>
      <w:tr w14:paraId="18635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74AD537F">
            <w:pPr>
              <w:spacing w:before="57" w:line="195" w:lineRule="auto"/>
              <w:jc w:val="center"/>
              <w:rPr>
                <w:rFonts w:hint="eastAsia" w:ascii="宋体" w:hAnsi="宋体" w:eastAsia="宋体" w:cs="宋体"/>
                <w:sz w:val="20"/>
                <w:szCs w:val="20"/>
                <w:highlight w:val="none"/>
                <w:lang w:eastAsia="zh-CN"/>
              </w:rPr>
            </w:pPr>
            <w:r>
              <w:rPr>
                <w:rFonts w:hint="eastAsia" w:ascii="宋体" w:hAnsi="宋体" w:eastAsia="宋体" w:cs="宋体"/>
                <w:spacing w:val="-2"/>
                <w:sz w:val="20"/>
                <w:szCs w:val="20"/>
                <w:highlight w:val="none"/>
                <w:lang w:val="en-US" w:eastAsia="zh-CN"/>
              </w:rPr>
              <w:t>9</w:t>
            </w:r>
          </w:p>
        </w:tc>
        <w:tc>
          <w:tcPr>
            <w:tcW w:w="2109" w:type="dxa"/>
            <w:vAlign w:val="center"/>
          </w:tcPr>
          <w:p w14:paraId="43CD94CE">
            <w:pPr>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踏勘现场</w:t>
            </w:r>
          </w:p>
        </w:tc>
        <w:tc>
          <w:tcPr>
            <w:tcW w:w="6208" w:type="dxa"/>
            <w:vAlign w:val="center"/>
          </w:tcPr>
          <w:p w14:paraId="65A4FDC4">
            <w:pPr>
              <w:jc w:val="both"/>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☑不组织</w:t>
            </w:r>
          </w:p>
          <w:p w14:paraId="16ECF3C3">
            <w:pPr>
              <w:jc w:val="both"/>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□组织，踏勘时间：</w:t>
            </w:r>
          </w:p>
          <w:p w14:paraId="6D999E64">
            <w:pPr>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踏勘集中地点：</w:t>
            </w:r>
          </w:p>
        </w:tc>
      </w:tr>
      <w:tr w14:paraId="0A824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433" w:type="dxa"/>
            <w:vAlign w:val="center"/>
          </w:tcPr>
          <w:p w14:paraId="43012AF0">
            <w:pPr>
              <w:spacing w:before="57" w:line="195" w:lineRule="auto"/>
              <w:jc w:val="center"/>
              <w:rPr>
                <w:rFonts w:hint="default" w:ascii="宋体" w:hAnsi="宋体" w:eastAsia="宋体" w:cs="宋体"/>
                <w:sz w:val="20"/>
                <w:szCs w:val="20"/>
                <w:highlight w:val="none"/>
                <w:lang w:val="en-US" w:eastAsia="zh-CN"/>
              </w:rPr>
            </w:pPr>
            <w:r>
              <w:rPr>
                <w:rFonts w:hint="eastAsia" w:ascii="宋体" w:hAnsi="宋体" w:eastAsia="宋体" w:cs="宋体"/>
                <w:spacing w:val="-10"/>
                <w:sz w:val="20"/>
                <w:szCs w:val="20"/>
                <w:highlight w:val="none"/>
                <w:lang w:val="en-US" w:eastAsia="zh-CN"/>
              </w:rPr>
              <w:t>10</w:t>
            </w:r>
          </w:p>
        </w:tc>
        <w:tc>
          <w:tcPr>
            <w:tcW w:w="2109" w:type="dxa"/>
            <w:vAlign w:val="center"/>
          </w:tcPr>
          <w:p w14:paraId="33A9B60B">
            <w:pPr>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分包</w:t>
            </w:r>
          </w:p>
        </w:tc>
        <w:tc>
          <w:tcPr>
            <w:tcW w:w="6208" w:type="dxa"/>
            <w:vAlign w:val="center"/>
          </w:tcPr>
          <w:p w14:paraId="15A78460">
            <w:pPr>
              <w:jc w:val="both"/>
              <w:rPr>
                <w:rFonts w:hint="eastAsia" w:ascii="宋体" w:hAnsi="宋体" w:eastAsia="宋体" w:cs="宋体"/>
                <w:highlight w:val="none"/>
                <w:lang w:eastAsia="zh-CN"/>
              </w:rPr>
            </w:pPr>
            <w:r>
              <w:rPr>
                <w:rFonts w:hint="eastAsia" w:ascii="宋体" w:hAnsi="宋体" w:eastAsia="宋体" w:cs="宋体"/>
                <w:sz w:val="20"/>
                <w:szCs w:val="20"/>
                <w:highlight w:val="none"/>
                <w:lang w:eastAsia="zh-CN"/>
              </w:rPr>
              <w:t>☑不允许</w:t>
            </w:r>
          </w:p>
        </w:tc>
      </w:tr>
      <w:tr w14:paraId="0D3B0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02DEF339">
            <w:pPr>
              <w:spacing w:before="58" w:line="195" w:lineRule="auto"/>
              <w:jc w:val="center"/>
              <w:rPr>
                <w:rFonts w:hint="default" w:ascii="宋体" w:hAnsi="宋体" w:eastAsia="宋体" w:cs="宋体"/>
                <w:sz w:val="20"/>
                <w:szCs w:val="20"/>
                <w:highlight w:val="none"/>
                <w:lang w:val="en-US" w:eastAsia="zh-CN"/>
              </w:rPr>
            </w:pPr>
            <w:r>
              <w:rPr>
                <w:rFonts w:hint="eastAsia" w:ascii="宋体" w:hAnsi="宋体" w:eastAsia="宋体" w:cs="宋体"/>
                <w:spacing w:val="-8"/>
                <w:sz w:val="20"/>
                <w:szCs w:val="20"/>
                <w:highlight w:val="none"/>
                <w:lang w:val="en-US" w:eastAsia="zh-CN"/>
              </w:rPr>
              <w:t>11</w:t>
            </w:r>
          </w:p>
        </w:tc>
        <w:tc>
          <w:tcPr>
            <w:tcW w:w="2109" w:type="dxa"/>
            <w:vAlign w:val="center"/>
          </w:tcPr>
          <w:p w14:paraId="5F5582FD">
            <w:pPr>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偏离</w:t>
            </w:r>
          </w:p>
        </w:tc>
        <w:tc>
          <w:tcPr>
            <w:tcW w:w="6208" w:type="dxa"/>
            <w:vAlign w:val="center"/>
          </w:tcPr>
          <w:p w14:paraId="28B78905">
            <w:pPr>
              <w:jc w:val="both"/>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不允许</w:t>
            </w:r>
          </w:p>
        </w:tc>
      </w:tr>
      <w:tr w14:paraId="72D1F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078A0081">
            <w:pPr>
              <w:spacing w:before="58" w:line="195" w:lineRule="auto"/>
              <w:jc w:val="center"/>
              <w:rPr>
                <w:rFonts w:hint="default" w:ascii="宋体" w:hAnsi="宋体" w:eastAsia="宋体" w:cs="宋体"/>
                <w:spacing w:val="2"/>
                <w:sz w:val="20"/>
                <w:szCs w:val="20"/>
                <w:highlight w:val="none"/>
                <w:lang w:val="en-US" w:eastAsia="zh-CN"/>
              </w:rPr>
            </w:pPr>
            <w:r>
              <w:rPr>
                <w:rFonts w:hint="eastAsia" w:ascii="宋体" w:hAnsi="宋体" w:eastAsia="宋体" w:cs="宋体"/>
                <w:spacing w:val="2"/>
                <w:sz w:val="20"/>
                <w:szCs w:val="20"/>
                <w:highlight w:val="none"/>
                <w:lang w:val="en-US" w:eastAsia="zh-CN"/>
              </w:rPr>
              <w:t>12</w:t>
            </w:r>
          </w:p>
        </w:tc>
        <w:tc>
          <w:tcPr>
            <w:tcW w:w="2109" w:type="dxa"/>
            <w:vAlign w:val="center"/>
          </w:tcPr>
          <w:p w14:paraId="238DCA50">
            <w:pPr>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近年发生或尚未结案的诉讼及仲裁情况的</w:t>
            </w:r>
            <w:r>
              <w:rPr>
                <w:rFonts w:hint="eastAsia" w:ascii="宋体" w:hAnsi="宋体" w:eastAsia="宋体" w:cs="宋体"/>
                <w:sz w:val="20"/>
                <w:szCs w:val="20"/>
                <w:highlight w:val="none"/>
              </w:rPr>
              <w:t>年份要求</w:t>
            </w:r>
          </w:p>
        </w:tc>
        <w:tc>
          <w:tcPr>
            <w:tcW w:w="6208" w:type="dxa"/>
            <w:vAlign w:val="center"/>
          </w:tcPr>
          <w:p w14:paraId="6AD57753">
            <w:pPr>
              <w:spacing w:line="288" w:lineRule="auto"/>
              <w:rPr>
                <w:rFonts w:hint="eastAsia" w:ascii="宋体" w:hAnsi="宋体" w:eastAsia="宋体" w:cs="宋体"/>
                <w:sz w:val="20"/>
                <w:szCs w:val="20"/>
                <w:highlight w:val="none"/>
              </w:rPr>
            </w:pPr>
            <w:r>
              <w:rPr>
                <w:rFonts w:hint="eastAsia" w:ascii="宋体" w:hAnsi="宋体" w:eastAsia="宋体" w:cs="宋体"/>
                <w:sz w:val="20"/>
                <w:szCs w:val="20"/>
                <w:highlight w:val="none"/>
                <w:u w:val="single"/>
              </w:rPr>
              <w:t xml:space="preserve"> </w:t>
            </w:r>
            <w:r>
              <w:rPr>
                <w:rFonts w:hint="eastAsia" w:ascii="宋体" w:hAnsi="宋体" w:eastAsia="宋体" w:cs="宋体"/>
                <w:sz w:val="20"/>
                <w:szCs w:val="20"/>
                <w:highlight w:val="none"/>
                <w:u w:val="single"/>
                <w:lang w:val="en-US" w:eastAsia="zh-CN"/>
              </w:rPr>
              <w:t>3</w:t>
            </w:r>
            <w:r>
              <w:rPr>
                <w:rFonts w:hint="eastAsia" w:ascii="宋体" w:hAnsi="宋体" w:eastAsia="宋体" w:cs="宋体"/>
                <w:sz w:val="20"/>
                <w:szCs w:val="20"/>
                <w:highlight w:val="none"/>
                <w:u w:val="single"/>
              </w:rPr>
              <w:t xml:space="preserve"> </w:t>
            </w:r>
            <w:r>
              <w:rPr>
                <w:rFonts w:hint="eastAsia" w:ascii="宋体" w:hAnsi="宋体" w:eastAsia="宋体" w:cs="宋体"/>
                <w:sz w:val="20"/>
                <w:szCs w:val="20"/>
                <w:highlight w:val="none"/>
              </w:rPr>
              <w:t>年</w:t>
            </w:r>
          </w:p>
        </w:tc>
      </w:tr>
      <w:tr w14:paraId="44FF2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183E8D54">
            <w:pPr>
              <w:spacing w:before="58" w:line="195" w:lineRule="auto"/>
              <w:jc w:val="center"/>
              <w:rPr>
                <w:rFonts w:hint="default" w:ascii="宋体" w:hAnsi="宋体" w:eastAsia="宋体" w:cs="宋体"/>
                <w:sz w:val="20"/>
                <w:szCs w:val="20"/>
                <w:highlight w:val="none"/>
                <w:lang w:val="en-US" w:eastAsia="zh-CN"/>
              </w:rPr>
            </w:pPr>
            <w:r>
              <w:rPr>
                <w:rFonts w:hint="eastAsia" w:ascii="宋体" w:hAnsi="宋体" w:eastAsia="宋体" w:cs="宋体"/>
                <w:spacing w:val="1"/>
                <w:sz w:val="20"/>
                <w:szCs w:val="20"/>
                <w:highlight w:val="none"/>
                <w:lang w:val="en-US" w:eastAsia="zh-CN"/>
              </w:rPr>
              <w:t>13</w:t>
            </w:r>
          </w:p>
        </w:tc>
        <w:tc>
          <w:tcPr>
            <w:tcW w:w="2109" w:type="dxa"/>
            <w:vAlign w:val="center"/>
          </w:tcPr>
          <w:p w14:paraId="44341311">
            <w:pPr>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是否允许递交备选投标方案</w:t>
            </w:r>
          </w:p>
        </w:tc>
        <w:tc>
          <w:tcPr>
            <w:tcW w:w="6208" w:type="dxa"/>
            <w:vAlign w:val="center"/>
          </w:tcPr>
          <w:p w14:paraId="28F7686E">
            <w:pPr>
              <w:spacing w:line="288" w:lineRule="auto"/>
              <w:rPr>
                <w:rFonts w:hint="eastAsia" w:ascii="宋体" w:hAnsi="宋体" w:eastAsia="宋体" w:cs="宋体"/>
                <w:sz w:val="20"/>
                <w:szCs w:val="20"/>
                <w:highlight w:val="none"/>
              </w:rPr>
            </w:pP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不允许</w:t>
            </w:r>
          </w:p>
        </w:tc>
      </w:tr>
      <w:tr w14:paraId="3B503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5D0F7740">
            <w:pPr>
              <w:spacing w:before="58" w:line="195" w:lineRule="auto"/>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14</w:t>
            </w:r>
          </w:p>
        </w:tc>
        <w:tc>
          <w:tcPr>
            <w:tcW w:w="2109" w:type="dxa"/>
            <w:vAlign w:val="center"/>
          </w:tcPr>
          <w:p w14:paraId="3A47BE8A">
            <w:pPr>
              <w:spacing w:before="58" w:line="195" w:lineRule="auto"/>
              <w:jc w:val="center"/>
              <w:rPr>
                <w:rFonts w:hint="eastAsia" w:ascii="宋体" w:hAnsi="宋体" w:eastAsia="宋体" w:cs="宋体"/>
                <w:spacing w:val="1"/>
                <w:sz w:val="20"/>
                <w:szCs w:val="20"/>
                <w:highlight w:val="none"/>
              </w:rPr>
            </w:pPr>
            <w:r>
              <w:rPr>
                <w:rFonts w:hint="eastAsia" w:ascii="宋体" w:hAnsi="宋体" w:eastAsia="宋体" w:cs="宋体"/>
                <w:spacing w:val="1"/>
                <w:sz w:val="20"/>
                <w:szCs w:val="20"/>
                <w:highlight w:val="none"/>
              </w:rPr>
              <w:t>签字或盖章要求</w:t>
            </w:r>
          </w:p>
        </w:tc>
        <w:tc>
          <w:tcPr>
            <w:tcW w:w="6208" w:type="dxa"/>
            <w:vAlign w:val="center"/>
          </w:tcPr>
          <w:p w14:paraId="7DBCDC93">
            <w:pPr>
              <w:spacing w:before="58" w:line="288" w:lineRule="auto"/>
              <w:rPr>
                <w:rFonts w:hint="eastAsia" w:ascii="宋体" w:hAnsi="宋体" w:eastAsia="宋体" w:cs="宋体"/>
                <w:spacing w:val="1"/>
                <w:sz w:val="20"/>
                <w:szCs w:val="20"/>
                <w:highlight w:val="none"/>
                <w:lang w:eastAsia="zh-CN"/>
              </w:rPr>
            </w:pPr>
            <w:r>
              <w:rPr>
                <w:rFonts w:hint="eastAsia" w:ascii="宋体" w:hAnsi="宋体" w:eastAsia="宋体" w:cs="宋体"/>
                <w:sz w:val="20"/>
                <w:szCs w:val="20"/>
                <w:highlight w:val="none"/>
                <w:lang w:eastAsia="zh-CN"/>
              </w:rPr>
              <w:t>投标文件应加盖投标人公章、骑缝章及由法定代表人或其委托代理人签字或盖章</w:t>
            </w:r>
          </w:p>
        </w:tc>
      </w:tr>
      <w:tr w14:paraId="0D0FA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75FD5C3A">
            <w:pPr>
              <w:spacing w:before="58" w:line="195" w:lineRule="auto"/>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15</w:t>
            </w:r>
          </w:p>
        </w:tc>
        <w:tc>
          <w:tcPr>
            <w:tcW w:w="2109" w:type="dxa"/>
            <w:vAlign w:val="center"/>
          </w:tcPr>
          <w:p w14:paraId="115F88B6">
            <w:pPr>
              <w:spacing w:before="58" w:line="195" w:lineRule="auto"/>
              <w:jc w:val="center"/>
              <w:rPr>
                <w:rFonts w:hint="eastAsia" w:ascii="宋体" w:hAnsi="宋体" w:eastAsia="宋体" w:cs="宋体"/>
                <w:spacing w:val="1"/>
                <w:sz w:val="20"/>
                <w:szCs w:val="20"/>
                <w:highlight w:val="none"/>
              </w:rPr>
            </w:pPr>
            <w:r>
              <w:rPr>
                <w:rFonts w:hint="eastAsia" w:ascii="宋体" w:hAnsi="宋体" w:eastAsia="宋体" w:cs="宋体"/>
                <w:spacing w:val="1"/>
                <w:sz w:val="20"/>
                <w:szCs w:val="20"/>
                <w:highlight w:val="none"/>
              </w:rPr>
              <w:t>投标文件副本份数</w:t>
            </w:r>
          </w:p>
        </w:tc>
        <w:tc>
          <w:tcPr>
            <w:tcW w:w="6208" w:type="dxa"/>
            <w:vAlign w:val="center"/>
          </w:tcPr>
          <w:p w14:paraId="7A7CFA4D">
            <w:pPr>
              <w:spacing w:before="58" w:line="195" w:lineRule="auto"/>
              <w:jc w:val="both"/>
              <w:rPr>
                <w:rFonts w:hint="eastAsia" w:ascii="宋体" w:hAnsi="宋体" w:eastAsia="宋体" w:cs="宋体"/>
                <w:spacing w:val="1"/>
                <w:sz w:val="20"/>
                <w:szCs w:val="20"/>
                <w:highlight w:val="none"/>
              </w:rPr>
            </w:pPr>
            <w:r>
              <w:rPr>
                <w:rFonts w:hint="eastAsia" w:ascii="宋体" w:hAnsi="宋体" w:eastAsia="宋体" w:cs="宋体"/>
                <w:sz w:val="20"/>
                <w:szCs w:val="20"/>
                <w:highlight w:val="none"/>
              </w:rPr>
              <w:t>正本1份，副本</w:t>
            </w:r>
            <w:r>
              <w:rPr>
                <w:rFonts w:hint="eastAsia" w:ascii="宋体" w:hAnsi="宋体" w:eastAsia="宋体" w:cs="宋体"/>
                <w:sz w:val="20"/>
                <w:szCs w:val="20"/>
                <w:highlight w:val="none"/>
                <w:lang w:val="en-US" w:eastAsia="zh-CN"/>
              </w:rPr>
              <w:t>3</w:t>
            </w:r>
            <w:r>
              <w:rPr>
                <w:rFonts w:hint="eastAsia" w:ascii="宋体" w:hAnsi="宋体" w:eastAsia="宋体" w:cs="宋体"/>
                <w:sz w:val="20"/>
                <w:szCs w:val="20"/>
                <w:highlight w:val="none"/>
              </w:rPr>
              <w:t xml:space="preserve">份 </w:t>
            </w:r>
          </w:p>
        </w:tc>
      </w:tr>
      <w:tr w14:paraId="18DED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0DCE2B5C">
            <w:pPr>
              <w:spacing w:before="58" w:line="195" w:lineRule="auto"/>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16</w:t>
            </w:r>
          </w:p>
        </w:tc>
        <w:tc>
          <w:tcPr>
            <w:tcW w:w="2109" w:type="dxa"/>
            <w:vAlign w:val="center"/>
          </w:tcPr>
          <w:p w14:paraId="76F8A5FA">
            <w:pPr>
              <w:spacing w:before="58" w:line="195" w:lineRule="auto"/>
              <w:jc w:val="center"/>
              <w:rPr>
                <w:rFonts w:hint="eastAsia" w:ascii="宋体" w:hAnsi="宋体" w:eastAsia="宋体" w:cs="宋体"/>
                <w:spacing w:val="1"/>
                <w:sz w:val="20"/>
                <w:szCs w:val="20"/>
                <w:highlight w:val="none"/>
              </w:rPr>
            </w:pPr>
            <w:r>
              <w:rPr>
                <w:rFonts w:hint="eastAsia" w:ascii="宋体" w:hAnsi="宋体" w:eastAsia="宋体" w:cs="宋体"/>
                <w:spacing w:val="1"/>
                <w:sz w:val="20"/>
                <w:szCs w:val="20"/>
                <w:highlight w:val="none"/>
              </w:rPr>
              <w:t>装订要求</w:t>
            </w:r>
          </w:p>
        </w:tc>
        <w:tc>
          <w:tcPr>
            <w:tcW w:w="6208" w:type="dxa"/>
            <w:vAlign w:val="center"/>
          </w:tcPr>
          <w:p w14:paraId="14295668">
            <w:pPr>
              <w:widowControl/>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1.</w:t>
            </w:r>
            <w:r>
              <w:rPr>
                <w:rFonts w:hint="eastAsia" w:ascii="仿宋" w:hAnsi="仿宋" w:eastAsia="仿宋" w:cs="仿宋"/>
                <w:b/>
                <w:bCs/>
                <w:color w:val="auto"/>
                <w:kern w:val="0"/>
                <w:sz w:val="24"/>
                <w:highlight w:val="none"/>
                <w:lang w:val="en-US" w:eastAsia="zh-CN" w:bidi="ar"/>
              </w:rPr>
              <w:t>不</w:t>
            </w:r>
            <w:r>
              <w:rPr>
                <w:rFonts w:hint="eastAsia" w:ascii="仿宋" w:hAnsi="仿宋" w:eastAsia="仿宋" w:cs="仿宋"/>
                <w:b/>
                <w:bCs/>
                <w:color w:val="auto"/>
                <w:kern w:val="0"/>
                <w:sz w:val="24"/>
                <w:highlight w:val="none"/>
                <w:lang w:bidi="ar"/>
              </w:rPr>
              <w:t>分册胶装：纸质响应文件胶装成册。</w:t>
            </w:r>
          </w:p>
          <w:p w14:paraId="154E25FA">
            <w:pPr>
              <w:spacing w:before="58" w:line="288" w:lineRule="auto"/>
              <w:jc w:val="both"/>
              <w:rPr>
                <w:rFonts w:hint="eastAsia" w:ascii="宋体" w:hAnsi="宋体" w:eastAsia="宋体" w:cs="宋体"/>
                <w:spacing w:val="1"/>
                <w:sz w:val="20"/>
                <w:szCs w:val="20"/>
                <w:highlight w:val="none"/>
                <w:lang w:eastAsia="zh-CN"/>
              </w:rPr>
            </w:pPr>
            <w:r>
              <w:rPr>
                <w:rFonts w:hint="eastAsia" w:ascii="仿宋" w:hAnsi="仿宋" w:eastAsia="仿宋" w:cs="仿宋"/>
                <w:color w:val="auto"/>
                <w:kern w:val="0"/>
                <w:sz w:val="24"/>
                <w:highlight w:val="none"/>
                <w:lang w:bidi="ar"/>
              </w:rPr>
              <w:t>2.每册将大小不一的文件材料（文件材料包括</w:t>
            </w:r>
            <w:r>
              <w:rPr>
                <w:rFonts w:hint="eastAsia" w:ascii="仿宋" w:hAnsi="仿宋" w:eastAsia="仿宋" w:cs="仿宋"/>
                <w:color w:val="auto"/>
                <w:kern w:val="0"/>
                <w:sz w:val="24"/>
                <w:highlight w:val="none"/>
                <w:lang w:eastAsia="zh-CN" w:bidi="ar"/>
              </w:rPr>
              <w:t>供应商</w:t>
            </w:r>
            <w:r>
              <w:rPr>
                <w:rFonts w:hint="eastAsia" w:ascii="仿宋" w:hAnsi="仿宋" w:eastAsia="仿宋" w:cs="仿宋"/>
                <w:color w:val="auto"/>
                <w:kern w:val="0"/>
                <w:sz w:val="24"/>
                <w:highlight w:val="none"/>
                <w:lang w:bidi="ar"/>
              </w:rPr>
              <w:t>所递交的所有资料，如产品彩页、图纸等）折叠成A4纸面大小制作，</w:t>
            </w:r>
            <w:r>
              <w:rPr>
                <w:rFonts w:hint="eastAsia" w:ascii="仿宋" w:hAnsi="仿宋" w:eastAsia="仿宋" w:cs="仿宋"/>
                <w:b/>
                <w:bCs/>
                <w:color w:val="auto"/>
                <w:kern w:val="0"/>
                <w:sz w:val="24"/>
                <w:highlight w:val="none"/>
                <w:lang w:bidi="ar"/>
              </w:rPr>
              <w:t>左侧胶装成册(不得打钉)</w:t>
            </w:r>
            <w:r>
              <w:rPr>
                <w:rFonts w:hint="eastAsia" w:ascii="仿宋" w:hAnsi="仿宋" w:eastAsia="仿宋" w:cs="仿宋"/>
                <w:color w:val="auto"/>
                <w:kern w:val="0"/>
                <w:sz w:val="24"/>
                <w:highlight w:val="none"/>
                <w:lang w:bidi="ar"/>
              </w:rPr>
              <w:t>。</w:t>
            </w:r>
          </w:p>
        </w:tc>
      </w:tr>
      <w:tr w14:paraId="704A5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1CE3E5B2">
            <w:pPr>
              <w:spacing w:before="58" w:line="195" w:lineRule="auto"/>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17</w:t>
            </w:r>
          </w:p>
        </w:tc>
        <w:tc>
          <w:tcPr>
            <w:tcW w:w="2109" w:type="dxa"/>
            <w:vAlign w:val="center"/>
          </w:tcPr>
          <w:p w14:paraId="54E4C545">
            <w:pPr>
              <w:spacing w:before="58" w:line="195" w:lineRule="auto"/>
              <w:jc w:val="center"/>
              <w:rPr>
                <w:rFonts w:hint="eastAsia" w:ascii="宋体" w:hAnsi="宋体" w:eastAsia="宋体" w:cs="宋体"/>
                <w:spacing w:val="1"/>
                <w:sz w:val="20"/>
                <w:szCs w:val="20"/>
                <w:highlight w:val="none"/>
              </w:rPr>
            </w:pPr>
            <w:r>
              <w:rPr>
                <w:rFonts w:hint="eastAsia" w:ascii="宋体" w:hAnsi="宋体" w:eastAsia="宋体" w:cs="宋体"/>
                <w:spacing w:val="1"/>
                <w:sz w:val="20"/>
                <w:szCs w:val="20"/>
                <w:highlight w:val="none"/>
              </w:rPr>
              <w:t>封套上写明</w:t>
            </w:r>
          </w:p>
        </w:tc>
        <w:tc>
          <w:tcPr>
            <w:tcW w:w="6208" w:type="dxa"/>
            <w:vAlign w:val="center"/>
          </w:tcPr>
          <w:p w14:paraId="061998D8">
            <w:pPr>
              <w:spacing w:before="58" w:line="288" w:lineRule="auto"/>
              <w:jc w:val="both"/>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招标人地址：</w:t>
            </w:r>
          </w:p>
          <w:p w14:paraId="57BA7BA3">
            <w:pPr>
              <w:spacing w:before="58" w:line="288" w:lineRule="auto"/>
              <w:jc w:val="both"/>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招标人名称：</w:t>
            </w:r>
          </w:p>
          <w:p w14:paraId="64B08D48">
            <w:pPr>
              <w:spacing w:before="58" w:line="288" w:lineRule="auto"/>
              <w:jc w:val="both"/>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投标人名称：</w:t>
            </w:r>
          </w:p>
          <w:p w14:paraId="149444A1">
            <w:pPr>
              <w:spacing w:before="58" w:line="288" w:lineRule="auto"/>
              <w:jc w:val="both"/>
              <w:rPr>
                <w:rFonts w:hint="eastAsia" w:ascii="宋体" w:hAnsi="宋体" w:eastAsia="宋体" w:cs="宋体"/>
                <w:spacing w:val="1"/>
                <w:sz w:val="20"/>
                <w:szCs w:val="20"/>
                <w:highlight w:val="none"/>
                <w:lang w:eastAsia="zh-CN"/>
              </w:rPr>
            </w:pPr>
            <w:r>
              <w:rPr>
                <w:rFonts w:hint="eastAsia" w:ascii="宋体" w:hAnsi="宋体" w:eastAsia="宋体" w:cs="宋体"/>
                <w:sz w:val="20"/>
                <w:szCs w:val="20"/>
                <w:highlight w:val="none"/>
                <w:u w:val="single"/>
                <w:lang w:eastAsia="zh-CN"/>
              </w:rPr>
              <w:t xml:space="preserve">               </w:t>
            </w:r>
            <w:r>
              <w:rPr>
                <w:rFonts w:hint="eastAsia" w:ascii="宋体" w:hAnsi="宋体" w:eastAsia="宋体" w:cs="宋体"/>
                <w:sz w:val="20"/>
                <w:szCs w:val="20"/>
                <w:highlight w:val="none"/>
                <w:lang w:eastAsia="zh-CN"/>
              </w:rPr>
              <w:t>（项目名称）投标文件在 202</w:t>
            </w:r>
            <w:r>
              <w:rPr>
                <w:rFonts w:hint="eastAsia" w:ascii="宋体" w:hAnsi="宋体" w:eastAsia="宋体" w:cs="宋体"/>
                <w:sz w:val="20"/>
                <w:szCs w:val="20"/>
                <w:highlight w:val="none"/>
                <w:lang w:val="en-US" w:eastAsia="zh-CN"/>
              </w:rPr>
              <w:t>6</w:t>
            </w:r>
            <w:r>
              <w:rPr>
                <w:rFonts w:hint="eastAsia" w:ascii="宋体" w:hAnsi="宋体" w:eastAsia="宋体" w:cs="宋体"/>
                <w:sz w:val="20"/>
                <w:szCs w:val="20"/>
                <w:highlight w:val="none"/>
                <w:lang w:eastAsia="zh-CN"/>
              </w:rPr>
              <w:t>年  月  日前不</w:t>
            </w:r>
            <w:r>
              <w:rPr>
                <w:rFonts w:hint="eastAsia" w:ascii="宋体" w:hAnsi="宋体" w:eastAsia="宋体" w:cs="宋体"/>
                <w:highlight w:val="none"/>
                <w:lang w:eastAsia="zh-CN"/>
              </w:rPr>
              <w:t>得开启</w:t>
            </w:r>
          </w:p>
        </w:tc>
      </w:tr>
      <w:tr w14:paraId="69A45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50F247C0">
            <w:pPr>
              <w:spacing w:before="58" w:line="195" w:lineRule="auto"/>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18</w:t>
            </w:r>
          </w:p>
        </w:tc>
        <w:tc>
          <w:tcPr>
            <w:tcW w:w="2109" w:type="dxa"/>
            <w:vAlign w:val="center"/>
          </w:tcPr>
          <w:p w14:paraId="41199574">
            <w:pPr>
              <w:spacing w:before="58" w:line="195" w:lineRule="auto"/>
              <w:jc w:val="center"/>
              <w:rPr>
                <w:rFonts w:hint="eastAsia" w:ascii="宋体" w:hAnsi="宋体" w:eastAsia="宋体" w:cs="宋体"/>
                <w:spacing w:val="1"/>
                <w:sz w:val="20"/>
                <w:szCs w:val="20"/>
                <w:highlight w:val="none"/>
              </w:rPr>
            </w:pPr>
            <w:r>
              <w:rPr>
                <w:rFonts w:hint="eastAsia" w:ascii="宋体" w:hAnsi="宋体" w:eastAsia="宋体" w:cs="宋体"/>
                <w:spacing w:val="1"/>
                <w:sz w:val="20"/>
                <w:szCs w:val="20"/>
                <w:highlight w:val="none"/>
              </w:rPr>
              <w:t>递交投标文件地点</w:t>
            </w:r>
          </w:p>
        </w:tc>
        <w:tc>
          <w:tcPr>
            <w:tcW w:w="6208" w:type="dxa"/>
            <w:vAlign w:val="center"/>
          </w:tcPr>
          <w:p w14:paraId="404793F8">
            <w:pPr>
              <w:spacing w:before="58" w:line="288" w:lineRule="auto"/>
              <w:jc w:val="left"/>
              <w:rPr>
                <w:rFonts w:hint="eastAsia" w:ascii="宋体" w:hAnsi="宋体" w:eastAsia="宋体" w:cs="宋体"/>
                <w:spacing w:val="1"/>
                <w:sz w:val="20"/>
                <w:szCs w:val="20"/>
                <w:highlight w:val="none"/>
                <w:lang w:eastAsia="zh-CN"/>
              </w:rPr>
            </w:pPr>
            <w:r>
              <w:rPr>
                <w:rFonts w:hint="eastAsia" w:ascii="宋体" w:hAnsi="宋体" w:eastAsia="宋体" w:cs="宋体"/>
                <w:spacing w:val="6"/>
                <w:sz w:val="21"/>
                <w:szCs w:val="21"/>
                <w:highlight w:val="none"/>
                <w:u w:val="single" w:color="auto"/>
                <w:lang w:val="en-US" w:eastAsia="zh-CN"/>
              </w:rPr>
              <w:t>青岛市黄岛区淮河西路167号</w:t>
            </w:r>
            <w:r>
              <w:rPr>
                <w:rFonts w:hint="eastAsia" w:ascii="仿宋" w:hAnsi="仿宋" w:eastAsia="仿宋" w:cs="仿宋"/>
                <w:spacing w:val="6"/>
                <w:sz w:val="28"/>
                <w:szCs w:val="28"/>
                <w:highlight w:val="none"/>
                <w:u w:val="single" w:color="auto"/>
              </w:rPr>
              <w:t xml:space="preserve"> </w:t>
            </w:r>
          </w:p>
        </w:tc>
      </w:tr>
      <w:tr w14:paraId="1E49E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12231D05">
            <w:pPr>
              <w:spacing w:before="58" w:line="195" w:lineRule="auto"/>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19</w:t>
            </w:r>
          </w:p>
        </w:tc>
        <w:tc>
          <w:tcPr>
            <w:tcW w:w="2109" w:type="dxa"/>
            <w:vAlign w:val="center"/>
          </w:tcPr>
          <w:p w14:paraId="5E0E56CF">
            <w:pPr>
              <w:spacing w:before="58" w:line="195" w:lineRule="auto"/>
              <w:jc w:val="center"/>
              <w:rPr>
                <w:rFonts w:hint="eastAsia" w:ascii="宋体" w:hAnsi="宋体" w:eastAsia="宋体" w:cs="宋体"/>
                <w:spacing w:val="1"/>
                <w:sz w:val="20"/>
                <w:szCs w:val="20"/>
                <w:highlight w:val="none"/>
              </w:rPr>
            </w:pPr>
            <w:r>
              <w:rPr>
                <w:rFonts w:hint="eastAsia" w:ascii="宋体" w:hAnsi="宋体" w:eastAsia="宋体" w:cs="宋体"/>
                <w:spacing w:val="1"/>
                <w:sz w:val="20"/>
                <w:szCs w:val="20"/>
                <w:highlight w:val="none"/>
              </w:rPr>
              <w:t>是否退还投标文件</w:t>
            </w:r>
          </w:p>
        </w:tc>
        <w:tc>
          <w:tcPr>
            <w:tcW w:w="6208" w:type="dxa"/>
            <w:vAlign w:val="center"/>
          </w:tcPr>
          <w:p w14:paraId="6E4B9B7D">
            <w:pPr>
              <w:spacing w:before="58" w:line="195" w:lineRule="auto"/>
              <w:jc w:val="both"/>
              <w:rPr>
                <w:rFonts w:hint="eastAsia" w:ascii="宋体" w:hAnsi="宋体" w:eastAsia="宋体" w:cs="宋体"/>
                <w:spacing w:val="1"/>
                <w:sz w:val="20"/>
                <w:szCs w:val="20"/>
                <w:highlight w:val="none"/>
              </w:rPr>
            </w:pPr>
            <w:r>
              <w:rPr>
                <w:rFonts w:hint="eastAsia" w:ascii="宋体" w:hAnsi="宋体" w:eastAsia="宋体" w:cs="宋体"/>
                <w:spacing w:val="1"/>
                <w:sz w:val="20"/>
                <w:szCs w:val="20"/>
                <w:highlight w:val="none"/>
                <w:lang w:eastAsia="zh-CN"/>
              </w:rPr>
              <w:t>☑</w:t>
            </w:r>
            <w:r>
              <w:rPr>
                <w:rFonts w:hint="eastAsia" w:ascii="宋体" w:hAnsi="宋体" w:eastAsia="宋体" w:cs="宋体"/>
                <w:spacing w:val="1"/>
                <w:sz w:val="20"/>
                <w:szCs w:val="20"/>
                <w:highlight w:val="none"/>
              </w:rPr>
              <w:t>否</w:t>
            </w:r>
          </w:p>
          <w:p w14:paraId="09FE4F1E">
            <w:pPr>
              <w:spacing w:before="58" w:line="195" w:lineRule="auto"/>
              <w:jc w:val="both"/>
              <w:rPr>
                <w:rFonts w:hint="eastAsia" w:ascii="宋体" w:hAnsi="宋体" w:eastAsia="宋体" w:cs="宋体"/>
                <w:spacing w:val="1"/>
                <w:sz w:val="20"/>
                <w:szCs w:val="20"/>
                <w:highlight w:val="none"/>
              </w:rPr>
            </w:pPr>
            <w:r>
              <w:rPr>
                <w:rFonts w:hint="eastAsia" w:ascii="宋体" w:hAnsi="宋体" w:eastAsia="宋体" w:cs="宋体"/>
                <w:spacing w:val="1"/>
                <w:sz w:val="20"/>
                <w:szCs w:val="20"/>
                <w:highlight w:val="none"/>
              </w:rPr>
              <w:t>□是</w:t>
            </w:r>
          </w:p>
        </w:tc>
      </w:tr>
      <w:tr w14:paraId="024F1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vAlign w:val="center"/>
          </w:tcPr>
          <w:p w14:paraId="67996740">
            <w:pPr>
              <w:spacing w:before="58" w:line="195" w:lineRule="auto"/>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20</w:t>
            </w:r>
          </w:p>
        </w:tc>
        <w:tc>
          <w:tcPr>
            <w:tcW w:w="2109" w:type="dxa"/>
            <w:vAlign w:val="center"/>
          </w:tcPr>
          <w:p w14:paraId="3DB23598">
            <w:pPr>
              <w:spacing w:before="58" w:line="195" w:lineRule="auto"/>
              <w:jc w:val="center"/>
              <w:rPr>
                <w:rFonts w:hint="eastAsia" w:ascii="宋体" w:hAnsi="宋体" w:eastAsia="宋体" w:cs="宋体"/>
                <w:spacing w:val="1"/>
                <w:sz w:val="20"/>
                <w:szCs w:val="20"/>
                <w:highlight w:val="none"/>
              </w:rPr>
            </w:pPr>
            <w:r>
              <w:rPr>
                <w:rFonts w:hint="eastAsia" w:ascii="宋体" w:hAnsi="宋体" w:eastAsia="宋体" w:cs="宋体"/>
                <w:spacing w:val="1"/>
                <w:sz w:val="20"/>
                <w:szCs w:val="20"/>
                <w:highlight w:val="none"/>
              </w:rPr>
              <w:t>开标时间和地点</w:t>
            </w:r>
          </w:p>
        </w:tc>
        <w:tc>
          <w:tcPr>
            <w:tcW w:w="6208" w:type="dxa"/>
            <w:vAlign w:val="center"/>
          </w:tcPr>
          <w:p w14:paraId="5CD54CE3">
            <w:pPr>
              <w:spacing w:before="58" w:line="288" w:lineRule="auto"/>
              <w:jc w:val="both"/>
              <w:rPr>
                <w:rFonts w:hint="eastAsia" w:ascii="宋体" w:hAnsi="宋体" w:eastAsia="宋体" w:cs="宋体"/>
                <w:spacing w:val="1"/>
                <w:sz w:val="20"/>
                <w:szCs w:val="20"/>
                <w:highlight w:val="none"/>
                <w:lang w:eastAsia="zh-CN"/>
              </w:rPr>
            </w:pPr>
            <w:r>
              <w:rPr>
                <w:rFonts w:hint="eastAsia" w:ascii="宋体" w:hAnsi="宋体" w:eastAsia="宋体" w:cs="宋体"/>
                <w:spacing w:val="1"/>
                <w:sz w:val="20"/>
                <w:szCs w:val="20"/>
                <w:highlight w:val="none"/>
                <w:lang w:eastAsia="zh-CN"/>
              </w:rPr>
              <w:t>开标时间：同投标截止时间</w:t>
            </w:r>
          </w:p>
          <w:p w14:paraId="3F5B1652">
            <w:pPr>
              <w:spacing w:before="58" w:line="288" w:lineRule="auto"/>
              <w:jc w:val="both"/>
              <w:rPr>
                <w:rFonts w:hint="eastAsia" w:ascii="宋体" w:hAnsi="宋体" w:eastAsia="宋体" w:cs="宋体"/>
                <w:spacing w:val="1"/>
                <w:sz w:val="20"/>
                <w:szCs w:val="20"/>
                <w:highlight w:val="none"/>
                <w:lang w:eastAsia="zh-CN"/>
              </w:rPr>
            </w:pPr>
            <w:r>
              <w:rPr>
                <w:rFonts w:hint="eastAsia" w:ascii="宋体" w:hAnsi="宋体" w:eastAsia="宋体" w:cs="宋体"/>
                <w:spacing w:val="1"/>
                <w:sz w:val="20"/>
                <w:szCs w:val="20"/>
                <w:highlight w:val="none"/>
                <w:lang w:eastAsia="zh-CN"/>
              </w:rPr>
              <w:t>开标地点：</w:t>
            </w:r>
            <w:r>
              <w:rPr>
                <w:rFonts w:hint="eastAsia" w:ascii="宋体" w:hAnsi="宋体" w:eastAsia="宋体" w:cs="宋体"/>
                <w:spacing w:val="6"/>
                <w:sz w:val="21"/>
                <w:szCs w:val="21"/>
                <w:highlight w:val="none"/>
                <w:u w:val="single" w:color="auto"/>
                <w:lang w:val="en-US" w:eastAsia="zh-CN"/>
              </w:rPr>
              <w:t>青岛市黄岛区淮河西路167号</w:t>
            </w:r>
          </w:p>
        </w:tc>
      </w:tr>
      <w:tr w14:paraId="37ED7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750" w:type="dxa"/>
            <w:gridSpan w:val="3"/>
            <w:vAlign w:val="center"/>
          </w:tcPr>
          <w:p w14:paraId="753E7C24">
            <w:pPr>
              <w:spacing w:before="58" w:line="288" w:lineRule="auto"/>
              <w:jc w:val="both"/>
              <w:rPr>
                <w:rFonts w:hint="eastAsia" w:ascii="宋体" w:hAnsi="宋体" w:eastAsia="宋体" w:cs="宋体"/>
                <w:spacing w:val="1"/>
                <w:sz w:val="20"/>
                <w:szCs w:val="20"/>
                <w:highlight w:val="none"/>
              </w:rPr>
            </w:pPr>
            <w:r>
              <w:rPr>
                <w:rFonts w:hint="eastAsia" w:ascii="宋体" w:hAnsi="宋体" w:eastAsia="宋体" w:cs="宋体"/>
                <w:b/>
                <w:bCs/>
                <w:spacing w:val="1"/>
                <w:sz w:val="20"/>
                <w:szCs w:val="20"/>
                <w:highlight w:val="none"/>
                <w:lang w:val="en-US" w:eastAsia="zh-CN"/>
              </w:rPr>
              <w:t>21</w:t>
            </w:r>
            <w:r>
              <w:rPr>
                <w:rFonts w:hint="eastAsia" w:ascii="宋体" w:hAnsi="宋体" w:eastAsia="宋体" w:cs="宋体"/>
                <w:b/>
                <w:bCs/>
                <w:spacing w:val="1"/>
                <w:sz w:val="20"/>
                <w:szCs w:val="20"/>
                <w:highlight w:val="none"/>
              </w:rPr>
              <w:t xml:space="preserve"> 投标文件电子版</w:t>
            </w:r>
          </w:p>
        </w:tc>
      </w:tr>
      <w:tr w14:paraId="6E631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tcBorders>
              <w:right w:val="single" w:color="auto" w:sz="4" w:space="0"/>
            </w:tcBorders>
            <w:vAlign w:val="center"/>
          </w:tcPr>
          <w:p w14:paraId="0E8E271C">
            <w:pPr>
              <w:spacing w:before="58" w:line="195" w:lineRule="auto"/>
              <w:jc w:val="center"/>
              <w:rPr>
                <w:rFonts w:hint="eastAsia" w:ascii="宋体" w:hAnsi="宋体" w:eastAsia="宋体" w:cs="宋体"/>
                <w:spacing w:val="1"/>
                <w:sz w:val="20"/>
                <w:szCs w:val="20"/>
                <w:highlight w:val="none"/>
                <w:lang w:eastAsia="zh-CN"/>
              </w:rPr>
            </w:pPr>
          </w:p>
        </w:tc>
        <w:tc>
          <w:tcPr>
            <w:tcW w:w="2109" w:type="dxa"/>
            <w:tcBorders>
              <w:left w:val="single" w:color="auto" w:sz="4" w:space="0"/>
              <w:right w:val="single" w:color="auto" w:sz="4" w:space="0"/>
            </w:tcBorders>
            <w:vAlign w:val="center"/>
          </w:tcPr>
          <w:p w14:paraId="233CE2FD">
            <w:pPr>
              <w:spacing w:before="58" w:line="288" w:lineRule="auto"/>
              <w:jc w:val="center"/>
              <w:rPr>
                <w:rFonts w:hint="eastAsia" w:ascii="宋体" w:hAnsi="宋体" w:eastAsia="宋体" w:cs="宋体"/>
                <w:spacing w:val="1"/>
                <w:sz w:val="20"/>
                <w:szCs w:val="20"/>
                <w:highlight w:val="none"/>
                <w:lang w:eastAsia="zh-CN"/>
              </w:rPr>
            </w:pPr>
            <w:r>
              <w:rPr>
                <w:rFonts w:hint="eastAsia" w:ascii="宋体" w:hAnsi="宋体" w:eastAsia="宋体" w:cs="宋体"/>
                <w:spacing w:val="1"/>
                <w:sz w:val="20"/>
                <w:szCs w:val="20"/>
                <w:highlight w:val="none"/>
                <w:lang w:eastAsia="zh-CN"/>
              </w:rPr>
              <w:t>是否要求投标人在递交投标文件时，同时递交投标文件电子版</w:t>
            </w:r>
          </w:p>
        </w:tc>
        <w:tc>
          <w:tcPr>
            <w:tcW w:w="6208" w:type="dxa"/>
            <w:tcBorders>
              <w:left w:val="single" w:color="auto" w:sz="4" w:space="0"/>
            </w:tcBorders>
            <w:vAlign w:val="center"/>
          </w:tcPr>
          <w:p w14:paraId="5C7E7A9E">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√要求，投标文件电子版内容：</w:t>
            </w:r>
            <w:r>
              <w:rPr>
                <w:rFonts w:hint="eastAsia" w:ascii="宋体" w:hAnsi="宋体" w:eastAsia="宋体" w:cs="宋体"/>
                <w:sz w:val="20"/>
                <w:szCs w:val="20"/>
                <w:highlight w:val="none"/>
                <w:u w:val="single"/>
                <w:lang w:eastAsia="zh-CN"/>
              </w:rPr>
              <w:t>投标文件正本盖章版PDF扫描件</w:t>
            </w:r>
            <w:r>
              <w:rPr>
                <w:rFonts w:hint="eastAsia" w:ascii="宋体" w:hAnsi="宋体" w:eastAsia="宋体" w:cs="宋体"/>
                <w:sz w:val="20"/>
                <w:szCs w:val="20"/>
                <w:highlight w:val="none"/>
                <w:lang w:eastAsia="zh-CN"/>
              </w:rPr>
              <w:t xml:space="preserve">  </w:t>
            </w:r>
          </w:p>
          <w:p w14:paraId="5E10141E">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 xml:space="preserve">  投标文件电子版份数：</w:t>
            </w:r>
            <w:r>
              <w:rPr>
                <w:rFonts w:hint="eastAsia" w:ascii="宋体" w:hAnsi="宋体" w:eastAsia="宋体" w:cs="宋体"/>
                <w:sz w:val="20"/>
                <w:szCs w:val="20"/>
                <w:highlight w:val="none"/>
                <w:lang w:val="en-US" w:eastAsia="zh-CN"/>
              </w:rPr>
              <w:t>1</w:t>
            </w:r>
            <w:r>
              <w:rPr>
                <w:rFonts w:hint="eastAsia" w:ascii="宋体" w:hAnsi="宋体" w:eastAsia="宋体" w:cs="宋体"/>
                <w:sz w:val="20"/>
                <w:szCs w:val="20"/>
                <w:highlight w:val="none"/>
                <w:lang w:eastAsia="zh-CN"/>
              </w:rPr>
              <w:t xml:space="preserve">份     </w:t>
            </w:r>
          </w:p>
          <w:p w14:paraId="25633C27">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 xml:space="preserve">  投标文件电子版形式：</w:t>
            </w:r>
            <w:r>
              <w:rPr>
                <w:rFonts w:hint="eastAsia" w:ascii="宋体" w:hAnsi="宋体" w:eastAsia="宋体" w:cs="宋体"/>
                <w:sz w:val="20"/>
                <w:szCs w:val="20"/>
                <w:highlight w:val="none"/>
                <w:u w:val="single"/>
                <w:lang w:val="en-US" w:eastAsia="zh-CN"/>
              </w:rPr>
              <w:t>U盘</w:t>
            </w:r>
            <w:r>
              <w:rPr>
                <w:rFonts w:hint="eastAsia" w:ascii="宋体" w:hAnsi="宋体" w:eastAsia="宋体" w:cs="宋体"/>
                <w:sz w:val="20"/>
                <w:szCs w:val="20"/>
                <w:highlight w:val="none"/>
                <w:u w:val="single"/>
                <w:lang w:eastAsia="zh-CN"/>
              </w:rPr>
              <w:t>。</w:t>
            </w:r>
            <w:r>
              <w:rPr>
                <w:rFonts w:hint="eastAsia" w:ascii="宋体" w:hAnsi="宋体" w:eastAsia="宋体" w:cs="宋体"/>
                <w:sz w:val="20"/>
                <w:szCs w:val="20"/>
                <w:highlight w:val="none"/>
                <w:lang w:eastAsia="zh-CN"/>
              </w:rPr>
              <w:t xml:space="preserve">   </w:t>
            </w:r>
          </w:p>
          <w:p w14:paraId="6234EC36">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 xml:space="preserve">  投标文件电子版密封方式：单独放入一个密封袋中，加贴封条，并在封套封口处加盖投标人单位公章，在封套上标记“投标文件 电子版”字样。</w:t>
            </w:r>
          </w:p>
          <w:p w14:paraId="31F866DC">
            <w:pPr>
              <w:spacing w:line="288" w:lineRule="auto"/>
              <w:ind w:firstLine="200" w:firstLineChars="100"/>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无论是否成交，电子投标文件均不退回</w:t>
            </w:r>
          </w:p>
        </w:tc>
      </w:tr>
      <w:tr w14:paraId="75A1C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750" w:type="dxa"/>
            <w:gridSpan w:val="3"/>
            <w:vAlign w:val="center"/>
          </w:tcPr>
          <w:p w14:paraId="365D3943">
            <w:pPr>
              <w:spacing w:line="288" w:lineRule="auto"/>
              <w:rPr>
                <w:rFonts w:hint="eastAsia" w:ascii="宋体" w:hAnsi="宋体" w:eastAsia="宋体" w:cs="宋体"/>
                <w:sz w:val="20"/>
                <w:szCs w:val="20"/>
                <w:highlight w:val="none"/>
              </w:rPr>
            </w:pPr>
            <w:r>
              <w:rPr>
                <w:rFonts w:hint="eastAsia" w:ascii="宋体" w:hAnsi="宋体" w:eastAsia="宋体" w:cs="宋体"/>
                <w:spacing w:val="1"/>
                <w:sz w:val="20"/>
                <w:szCs w:val="20"/>
                <w:highlight w:val="none"/>
                <w:lang w:val="en-US" w:eastAsia="zh-CN"/>
              </w:rPr>
              <w:t>22成交</w:t>
            </w:r>
            <w:r>
              <w:rPr>
                <w:rFonts w:hint="eastAsia" w:ascii="宋体" w:hAnsi="宋体" w:eastAsia="宋体" w:cs="宋体"/>
                <w:spacing w:val="1"/>
                <w:sz w:val="20"/>
                <w:szCs w:val="20"/>
                <w:highlight w:val="none"/>
              </w:rPr>
              <w:t>公示</w:t>
            </w:r>
          </w:p>
        </w:tc>
      </w:tr>
      <w:tr w14:paraId="54D3A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tcBorders>
              <w:right w:val="single" w:color="auto" w:sz="4" w:space="0"/>
            </w:tcBorders>
            <w:vAlign w:val="center"/>
          </w:tcPr>
          <w:p w14:paraId="229245AE">
            <w:pPr>
              <w:spacing w:before="58" w:line="195" w:lineRule="auto"/>
              <w:jc w:val="center"/>
              <w:rPr>
                <w:rFonts w:hint="eastAsia" w:ascii="宋体" w:hAnsi="宋体" w:eastAsia="宋体" w:cs="宋体"/>
                <w:spacing w:val="1"/>
                <w:sz w:val="20"/>
                <w:szCs w:val="20"/>
                <w:highlight w:val="none"/>
                <w:lang w:eastAsia="zh-CN"/>
              </w:rPr>
            </w:pPr>
          </w:p>
        </w:tc>
        <w:tc>
          <w:tcPr>
            <w:tcW w:w="8317" w:type="dxa"/>
            <w:gridSpan w:val="2"/>
            <w:tcBorders>
              <w:left w:val="single" w:color="auto" w:sz="4" w:space="0"/>
            </w:tcBorders>
            <w:vAlign w:val="center"/>
          </w:tcPr>
          <w:p w14:paraId="2A588327">
            <w:pPr>
              <w:spacing w:line="288" w:lineRule="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eastAsia="zh-CN"/>
              </w:rPr>
              <w:t>在</w:t>
            </w:r>
            <w:r>
              <w:rPr>
                <w:rFonts w:hint="eastAsia" w:ascii="宋体" w:hAnsi="宋体" w:eastAsia="宋体" w:cs="宋体"/>
                <w:sz w:val="20"/>
                <w:szCs w:val="20"/>
                <w:highlight w:val="none"/>
                <w:lang w:val="en-US" w:eastAsia="zh-CN"/>
              </w:rPr>
              <w:t>成交</w:t>
            </w:r>
            <w:r>
              <w:rPr>
                <w:rFonts w:hint="eastAsia" w:ascii="宋体" w:hAnsi="宋体" w:eastAsia="宋体" w:cs="宋体"/>
                <w:sz w:val="20"/>
                <w:szCs w:val="20"/>
                <w:highlight w:val="none"/>
                <w:lang w:eastAsia="zh-CN"/>
              </w:rPr>
              <w:t>通知书发出前，</w:t>
            </w:r>
            <w:r>
              <w:rPr>
                <w:rFonts w:hint="eastAsia" w:ascii="宋体" w:hAnsi="宋体" w:eastAsia="宋体" w:cs="宋体"/>
                <w:sz w:val="20"/>
                <w:szCs w:val="20"/>
                <w:highlight w:val="none"/>
                <w:lang w:val="en-US" w:eastAsia="zh-CN"/>
              </w:rPr>
              <w:t>采购</w:t>
            </w:r>
            <w:r>
              <w:rPr>
                <w:rFonts w:hint="eastAsia" w:ascii="宋体" w:hAnsi="宋体" w:eastAsia="宋体" w:cs="宋体"/>
                <w:sz w:val="20"/>
                <w:szCs w:val="20"/>
                <w:highlight w:val="none"/>
                <w:lang w:eastAsia="zh-CN"/>
              </w:rPr>
              <w:t>人将</w:t>
            </w:r>
            <w:r>
              <w:rPr>
                <w:rFonts w:hint="eastAsia" w:ascii="宋体" w:hAnsi="宋体" w:eastAsia="宋体" w:cs="宋体"/>
                <w:sz w:val="20"/>
                <w:szCs w:val="20"/>
                <w:highlight w:val="none"/>
                <w:lang w:val="en-US" w:eastAsia="zh-CN"/>
              </w:rPr>
              <w:t>成交结果</w:t>
            </w:r>
            <w:r>
              <w:rPr>
                <w:rFonts w:hint="eastAsia" w:ascii="宋体" w:hAnsi="宋体" w:eastAsia="宋体" w:cs="宋体"/>
                <w:sz w:val="20"/>
                <w:szCs w:val="20"/>
                <w:highlight w:val="none"/>
                <w:lang w:eastAsia="zh-CN"/>
              </w:rPr>
              <w:t>的在本项目</w:t>
            </w:r>
            <w:r>
              <w:rPr>
                <w:rFonts w:hint="eastAsia" w:ascii="宋体" w:hAnsi="宋体" w:eastAsia="宋体" w:cs="宋体"/>
                <w:sz w:val="20"/>
                <w:szCs w:val="20"/>
                <w:highlight w:val="none"/>
                <w:lang w:val="en-US" w:eastAsia="zh-CN"/>
              </w:rPr>
              <w:t>采购</w:t>
            </w:r>
            <w:r>
              <w:rPr>
                <w:rFonts w:hint="eastAsia" w:ascii="宋体" w:hAnsi="宋体" w:eastAsia="宋体" w:cs="宋体"/>
                <w:sz w:val="20"/>
                <w:szCs w:val="20"/>
                <w:highlight w:val="none"/>
                <w:lang w:eastAsia="zh-CN"/>
              </w:rPr>
              <w:t>公告发布的同一媒介予以公示，公示期</w:t>
            </w:r>
            <w:r>
              <w:rPr>
                <w:rFonts w:hint="eastAsia" w:ascii="宋体" w:hAnsi="宋体" w:eastAsia="宋体" w:cs="宋体"/>
                <w:sz w:val="20"/>
                <w:szCs w:val="20"/>
                <w:highlight w:val="none"/>
                <w:lang w:val="en-US" w:eastAsia="zh-CN"/>
              </w:rPr>
              <w:t>3</w:t>
            </w:r>
            <w:r>
              <w:rPr>
                <w:rFonts w:hint="eastAsia" w:ascii="宋体" w:hAnsi="宋体" w:eastAsia="宋体" w:cs="宋体"/>
                <w:sz w:val="20"/>
                <w:szCs w:val="20"/>
                <w:highlight w:val="none"/>
                <w:lang w:eastAsia="zh-CN"/>
              </w:rPr>
              <w:t>日。</w:t>
            </w:r>
          </w:p>
        </w:tc>
      </w:tr>
      <w:tr w14:paraId="6B146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750" w:type="dxa"/>
            <w:gridSpan w:val="3"/>
            <w:vAlign w:val="center"/>
          </w:tcPr>
          <w:p w14:paraId="4FC4C61B">
            <w:pPr>
              <w:spacing w:line="288" w:lineRule="auto"/>
              <w:jc w:val="both"/>
              <w:rPr>
                <w:rFonts w:hint="eastAsia" w:ascii="宋体" w:hAnsi="宋体" w:eastAsia="宋体" w:cs="宋体"/>
                <w:sz w:val="20"/>
                <w:szCs w:val="20"/>
                <w:highlight w:val="none"/>
              </w:rPr>
            </w:pPr>
            <w:r>
              <w:rPr>
                <w:rFonts w:hint="eastAsia" w:ascii="宋体" w:hAnsi="宋体" w:eastAsia="宋体" w:cs="宋体"/>
                <w:spacing w:val="1"/>
                <w:sz w:val="20"/>
                <w:szCs w:val="20"/>
                <w:highlight w:val="none"/>
                <w:lang w:val="en-US" w:eastAsia="zh-CN"/>
              </w:rPr>
              <w:t>23.</w:t>
            </w:r>
            <w:r>
              <w:rPr>
                <w:rFonts w:hint="eastAsia" w:ascii="宋体" w:hAnsi="宋体" w:eastAsia="宋体" w:cs="宋体"/>
                <w:spacing w:val="1"/>
                <w:sz w:val="20"/>
                <w:szCs w:val="20"/>
                <w:highlight w:val="none"/>
              </w:rPr>
              <w:t>知识产权</w:t>
            </w:r>
          </w:p>
        </w:tc>
      </w:tr>
      <w:tr w14:paraId="4159B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tcBorders>
              <w:right w:val="single" w:color="auto" w:sz="4" w:space="0"/>
            </w:tcBorders>
            <w:vAlign w:val="center"/>
          </w:tcPr>
          <w:p w14:paraId="7D36796A">
            <w:pPr>
              <w:spacing w:before="58" w:line="195" w:lineRule="auto"/>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23.1</w:t>
            </w:r>
          </w:p>
        </w:tc>
        <w:tc>
          <w:tcPr>
            <w:tcW w:w="8317" w:type="dxa"/>
            <w:gridSpan w:val="2"/>
            <w:tcBorders>
              <w:left w:val="single" w:color="auto" w:sz="4" w:space="0"/>
            </w:tcBorders>
            <w:vAlign w:val="center"/>
          </w:tcPr>
          <w:p w14:paraId="2AF94FF9">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构成本</w:t>
            </w:r>
            <w:r>
              <w:rPr>
                <w:rFonts w:hint="eastAsia" w:ascii="宋体" w:hAnsi="宋体" w:eastAsia="宋体" w:cs="宋体"/>
                <w:sz w:val="20"/>
                <w:szCs w:val="20"/>
                <w:highlight w:val="none"/>
                <w:lang w:val="en-US" w:eastAsia="zh-CN"/>
              </w:rPr>
              <w:t>采购</w:t>
            </w:r>
            <w:r>
              <w:rPr>
                <w:rFonts w:hint="eastAsia" w:ascii="宋体" w:hAnsi="宋体" w:eastAsia="宋体" w:cs="宋体"/>
                <w:sz w:val="20"/>
                <w:szCs w:val="20"/>
                <w:highlight w:val="none"/>
                <w:lang w:eastAsia="zh-CN"/>
              </w:rPr>
              <w:t>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4F39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tcBorders>
              <w:right w:val="single" w:color="auto" w:sz="4" w:space="0"/>
            </w:tcBorders>
            <w:vAlign w:val="center"/>
          </w:tcPr>
          <w:p w14:paraId="2B6A6808">
            <w:pPr>
              <w:spacing w:before="58" w:line="195" w:lineRule="auto"/>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23.2</w:t>
            </w:r>
          </w:p>
        </w:tc>
        <w:tc>
          <w:tcPr>
            <w:tcW w:w="8317" w:type="dxa"/>
            <w:gridSpan w:val="2"/>
            <w:tcBorders>
              <w:left w:val="single" w:color="auto" w:sz="4" w:space="0"/>
            </w:tcBorders>
            <w:vAlign w:val="center"/>
          </w:tcPr>
          <w:p w14:paraId="093BF75D">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构成</w:t>
            </w:r>
            <w:r>
              <w:rPr>
                <w:rFonts w:hint="eastAsia" w:ascii="宋体" w:hAnsi="宋体" w:eastAsia="宋体" w:cs="宋体"/>
                <w:sz w:val="20"/>
                <w:szCs w:val="20"/>
                <w:highlight w:val="none"/>
                <w:lang w:val="en-US" w:eastAsia="zh-CN"/>
              </w:rPr>
              <w:t>采购</w:t>
            </w:r>
            <w:r>
              <w:rPr>
                <w:rFonts w:hint="eastAsia" w:ascii="宋体" w:hAnsi="宋体" w:eastAsia="宋体" w:cs="宋体"/>
                <w:sz w:val="20"/>
                <w:szCs w:val="20"/>
                <w:highlight w:val="none"/>
                <w:lang w:eastAsia="zh-CN"/>
              </w:rPr>
              <w:t>文件组成部分的合同条款、“技术标准、要求</w:t>
            </w:r>
            <w:r>
              <w:rPr>
                <w:rFonts w:hint="eastAsia" w:ascii="宋体" w:hAnsi="宋体" w:eastAsia="宋体" w:cs="宋体"/>
                <w:sz w:val="20"/>
                <w:szCs w:val="20"/>
                <w:highlight w:val="none"/>
                <w:lang w:val="en-US" w:eastAsia="zh-CN"/>
              </w:rPr>
              <w:t>及采购清单</w:t>
            </w:r>
            <w:r>
              <w:rPr>
                <w:rFonts w:hint="eastAsia" w:ascii="宋体" w:hAnsi="宋体" w:eastAsia="宋体" w:cs="宋体"/>
                <w:sz w:val="20"/>
                <w:szCs w:val="20"/>
                <w:highlight w:val="none"/>
                <w:lang w:eastAsia="zh-CN"/>
              </w:rPr>
              <w:t>”等章节中出现的措辞“发包人”和“承包人”、“</w:t>
            </w:r>
            <w:r>
              <w:rPr>
                <w:rFonts w:hint="eastAsia" w:ascii="宋体" w:hAnsi="宋体" w:eastAsia="宋体" w:cs="宋体"/>
                <w:sz w:val="20"/>
                <w:szCs w:val="20"/>
                <w:highlight w:val="none"/>
                <w:lang w:val="en-US" w:eastAsia="zh-CN"/>
              </w:rPr>
              <w:t>甲方</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和“乙方”</w:t>
            </w:r>
            <w:r>
              <w:rPr>
                <w:rFonts w:hint="eastAsia" w:ascii="宋体" w:hAnsi="宋体" w:eastAsia="宋体" w:cs="宋体"/>
                <w:sz w:val="20"/>
                <w:szCs w:val="20"/>
                <w:highlight w:val="none"/>
                <w:lang w:eastAsia="zh-CN"/>
              </w:rPr>
              <w:t>在招标投标阶段应当分别按“</w:t>
            </w:r>
            <w:r>
              <w:rPr>
                <w:rFonts w:hint="eastAsia" w:ascii="宋体" w:hAnsi="宋体" w:eastAsia="宋体" w:cs="宋体"/>
                <w:sz w:val="20"/>
                <w:szCs w:val="20"/>
                <w:highlight w:val="none"/>
                <w:lang w:val="en-US" w:eastAsia="zh-CN"/>
              </w:rPr>
              <w:t>采购</w:t>
            </w:r>
            <w:r>
              <w:rPr>
                <w:rFonts w:hint="eastAsia" w:ascii="宋体" w:hAnsi="宋体" w:eastAsia="宋体" w:cs="宋体"/>
                <w:sz w:val="20"/>
                <w:szCs w:val="20"/>
                <w:highlight w:val="none"/>
                <w:lang w:eastAsia="zh-CN"/>
              </w:rPr>
              <w:t>人”和“投标人”进行理解。</w:t>
            </w:r>
          </w:p>
        </w:tc>
      </w:tr>
      <w:tr w14:paraId="75BE7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750" w:type="dxa"/>
            <w:gridSpan w:val="3"/>
            <w:vAlign w:val="center"/>
          </w:tcPr>
          <w:p w14:paraId="53695A61">
            <w:pPr>
              <w:spacing w:line="288" w:lineRule="auto"/>
              <w:rPr>
                <w:rFonts w:hint="eastAsia" w:ascii="宋体" w:hAnsi="宋体" w:eastAsia="宋体" w:cs="宋体"/>
                <w:sz w:val="20"/>
                <w:szCs w:val="20"/>
                <w:highlight w:val="none"/>
              </w:rPr>
            </w:pPr>
            <w:r>
              <w:rPr>
                <w:rFonts w:hint="eastAsia" w:ascii="宋体" w:hAnsi="宋体" w:eastAsia="宋体" w:cs="宋体"/>
                <w:spacing w:val="1"/>
                <w:sz w:val="20"/>
                <w:szCs w:val="20"/>
                <w:highlight w:val="none"/>
                <w:lang w:val="en-US" w:eastAsia="zh-CN"/>
              </w:rPr>
              <w:t>24</w:t>
            </w:r>
            <w:r>
              <w:rPr>
                <w:rFonts w:hint="eastAsia" w:ascii="宋体" w:hAnsi="宋体" w:eastAsia="宋体" w:cs="宋体"/>
                <w:spacing w:val="1"/>
                <w:sz w:val="20"/>
                <w:szCs w:val="20"/>
                <w:highlight w:val="none"/>
                <w:lang w:eastAsia="zh-CN"/>
              </w:rPr>
              <w:t xml:space="preserve">  解释权</w:t>
            </w:r>
          </w:p>
        </w:tc>
      </w:tr>
      <w:tr w14:paraId="18C61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3" w:type="dxa"/>
            <w:tcBorders>
              <w:right w:val="single" w:color="auto" w:sz="4" w:space="0"/>
            </w:tcBorders>
            <w:vAlign w:val="center"/>
          </w:tcPr>
          <w:p w14:paraId="2D7B8707">
            <w:pPr>
              <w:spacing w:before="58" w:line="195" w:lineRule="auto"/>
              <w:jc w:val="center"/>
              <w:rPr>
                <w:rFonts w:hint="eastAsia" w:ascii="宋体" w:hAnsi="宋体" w:eastAsia="宋体" w:cs="宋体"/>
                <w:spacing w:val="1"/>
                <w:sz w:val="20"/>
                <w:szCs w:val="20"/>
                <w:highlight w:val="none"/>
                <w:lang w:eastAsia="zh-CN"/>
              </w:rPr>
            </w:pPr>
          </w:p>
        </w:tc>
        <w:tc>
          <w:tcPr>
            <w:tcW w:w="8317" w:type="dxa"/>
            <w:gridSpan w:val="2"/>
            <w:tcBorders>
              <w:left w:val="single" w:color="auto" w:sz="4" w:space="0"/>
            </w:tcBorders>
            <w:vAlign w:val="center"/>
          </w:tcPr>
          <w:p w14:paraId="18F55A0D">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构成本招标文件的各个组成文件应互为解释，互为说明；如有不明确或不一致，构成合同文件组成内容的，以合同文件约定内容为准，且以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bl>
    <w:p w14:paraId="39967158">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550D2AB1">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一、说明</w:t>
      </w:r>
      <w:bookmarkEnd w:id="3"/>
      <w:bookmarkEnd w:id="4"/>
      <w:bookmarkEnd w:id="5"/>
    </w:p>
    <w:p w14:paraId="211CA9B1">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（一）适用范围：本文件仅适用于本投标邀请中所述的采购项目。</w:t>
      </w:r>
    </w:p>
    <w:p w14:paraId="55183AF6">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（二）定义</w:t>
      </w:r>
    </w:p>
    <w:p w14:paraId="7399812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1.“采购人”系指青岛碧海水务有限公司。</w:t>
      </w:r>
    </w:p>
    <w:p w14:paraId="3060F59E">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2.“投标人”系指向采购人提交投标文件的供应商。</w:t>
      </w:r>
    </w:p>
    <w:p w14:paraId="15D12C7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3.“中标人”系指被确定为承接本项目并负责其实施的投标人。</w:t>
      </w:r>
    </w:p>
    <w:p w14:paraId="46563626">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（三）投标人应具备的条件</w:t>
      </w:r>
    </w:p>
    <w:p w14:paraId="4AB36A09">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1.满足</w:t>
      </w:r>
      <w:r>
        <w:rPr>
          <w:rFonts w:hint="eastAsia" w:ascii="仿宋" w:hAnsi="仿宋" w:eastAsia="仿宋" w:cs="仿宋"/>
          <w:sz w:val="28"/>
          <w:szCs w:val="28"/>
          <w:highlight w:val="none"/>
          <w:lang w:val="en-US" w:eastAsia="zh-CN"/>
        </w:rPr>
        <w:t>询价函</w:t>
      </w:r>
      <w:r>
        <w:rPr>
          <w:rFonts w:hint="eastAsia" w:ascii="仿宋" w:hAnsi="仿宋" w:eastAsia="仿宋" w:cs="仿宋"/>
          <w:sz w:val="28"/>
          <w:szCs w:val="28"/>
          <w:highlight w:val="none"/>
        </w:rPr>
        <w:t>中的资质规定。</w:t>
      </w:r>
    </w:p>
    <w:p w14:paraId="36A117F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2.投标工程/服务符合国家规定的技术标准和环保标准。</w:t>
      </w:r>
    </w:p>
    <w:p w14:paraId="03C9A96E">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3.满足本文件规定的要求。</w:t>
      </w:r>
    </w:p>
    <w:p w14:paraId="2B7D8E38">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（四）联合体投标：本项目不接受联合体投标。</w:t>
      </w:r>
    </w:p>
    <w:p w14:paraId="642FF8B3">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（五）投标有效期：从开标之日起，投标文件有效期为60天。投标有效期不足的，其投标无效。</w:t>
      </w:r>
    </w:p>
    <w:p w14:paraId="2BA61BBE">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（六）本文件的澄清、修改</w:t>
      </w:r>
    </w:p>
    <w:p w14:paraId="6DB226E9">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1.投标人收到本文件时，应进行检查；如认为采购文件存在不合理条款，公告时间及程序不符合规定的，应及时告知采购人澄清或处理。否则，由投标人自行承担所造成的不良后果。</w:t>
      </w:r>
    </w:p>
    <w:p w14:paraId="3725DDAF">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2.根据投标人提出的问题，采购人确定是否需统一召开标前踏勘及答疑会；如统一召开，将通知所有被邀请的投标人参加。</w:t>
      </w:r>
    </w:p>
    <w:p w14:paraId="4CCE96F7">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3.采购人对本文件进行必要澄清或修改的，应当在投标截止时间前，并以书面形式通知所有被邀请的供应商。该澄清或修改的内容为本文件的组成部分。</w:t>
      </w:r>
    </w:p>
    <w:p w14:paraId="3F627AF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（七）投标费用：无论投标结果如何，投标人自行承担所有与投标有关的全部费用。</w:t>
      </w:r>
    </w:p>
    <w:p w14:paraId="70E6C099">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bookmarkStart w:id="8" w:name="_Toc14721"/>
      <w:bookmarkStart w:id="9" w:name="_Toc291506256"/>
      <w:bookmarkStart w:id="10" w:name="_Toc227423103"/>
      <w:r>
        <w:rPr>
          <w:rFonts w:hint="eastAsia" w:ascii="仿宋" w:hAnsi="仿宋" w:eastAsia="仿宋" w:cs="仿宋"/>
          <w:sz w:val="28"/>
          <w:szCs w:val="28"/>
          <w:highlight w:val="none"/>
        </w:rPr>
        <w:t>二、投标文件的编写</w:t>
      </w:r>
      <w:bookmarkEnd w:id="8"/>
      <w:bookmarkEnd w:id="9"/>
      <w:bookmarkEnd w:id="10"/>
    </w:p>
    <w:p w14:paraId="14260A05">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（一）一般要求</w:t>
      </w:r>
    </w:p>
    <w:p w14:paraId="0952C3C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1.投标人应仔细阅读本文件的所有内容，按本文件的要求编制投标文件，并保证所提供的全部资料真实有效。</w:t>
      </w:r>
    </w:p>
    <w:p w14:paraId="09A14A59">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2.投标文件的书面内容不得有加行、涂抹或改写。</w:t>
      </w:r>
    </w:p>
    <w:p w14:paraId="1AE8B587">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3.投标文件应当采用书面方式；招标采购单位不接受电报、电话、传真投标。</w:t>
      </w:r>
    </w:p>
    <w:p w14:paraId="2437502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（二）投标文件的组成</w:t>
      </w:r>
    </w:p>
    <w:p w14:paraId="0A7E568B">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1.投标文件应包括的内容详见本文件</w:t>
      </w:r>
      <w:ins w:id="0" w:author="侯可臻" w:date="2026-06-15T15:17:37Z">
        <w:r>
          <w:rPr>
            <w:rFonts w:hint="eastAsia" w:ascii="仿宋" w:hAnsi="仿宋" w:eastAsia="仿宋" w:cs="仿宋"/>
            <w:sz w:val="28"/>
            <w:szCs w:val="28"/>
            <w:highlight w:val="none"/>
            <w:lang w:eastAsia="zh-CN"/>
          </w:rPr>
          <w:t>“</w:t>
        </w:r>
      </w:ins>
      <w:ins w:id="1" w:author="侯可臻" w:date="2026-06-15T15:17:40Z">
        <w:r>
          <w:rPr>
            <w:rFonts w:hint="eastAsia" w:ascii="仿宋" w:hAnsi="仿宋" w:eastAsia="仿宋" w:cs="仿宋"/>
            <w:sz w:val="28"/>
            <w:szCs w:val="28"/>
            <w:highlight w:val="none"/>
            <w:lang w:val="en-US" w:eastAsia="zh-CN"/>
          </w:rPr>
          <w:t>第二章</w:t>
        </w:r>
      </w:ins>
      <w:ins w:id="2" w:author="侯可臻" w:date="2026-06-15T15:17:43Z">
        <w:r>
          <w:rPr>
            <w:rFonts w:hint="eastAsia" w:ascii="仿宋" w:hAnsi="仿宋" w:eastAsia="仿宋" w:cs="仿宋"/>
            <w:sz w:val="28"/>
            <w:szCs w:val="28"/>
            <w:highlight w:val="none"/>
            <w:lang w:val="en-US" w:eastAsia="zh-CN"/>
          </w:rPr>
          <w:t>投标须知</w:t>
        </w:r>
      </w:ins>
      <w:ins w:id="3" w:author="侯可臻" w:date="2026-06-15T15:17:37Z">
        <w:r>
          <w:rPr>
            <w:rFonts w:hint="eastAsia" w:ascii="仿宋" w:hAnsi="仿宋" w:eastAsia="仿宋" w:cs="仿宋"/>
            <w:sz w:val="28"/>
            <w:szCs w:val="28"/>
            <w:highlight w:val="none"/>
            <w:lang w:eastAsia="zh-CN"/>
          </w:rPr>
          <w:t>”</w:t>
        </w:r>
      </w:ins>
      <w:ins w:id="4" w:author="侯可臻" w:date="2026-06-15T15:17:47Z">
        <w:r>
          <w:rPr>
            <w:rFonts w:hint="eastAsia" w:ascii="仿宋" w:hAnsi="仿宋" w:eastAsia="仿宋" w:cs="仿宋"/>
            <w:sz w:val="28"/>
            <w:szCs w:val="28"/>
            <w:highlight w:val="none"/>
            <w:lang w:val="en-US" w:eastAsia="zh-CN"/>
          </w:rPr>
          <w:t>及</w:t>
        </w:r>
      </w:ins>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章投标文件编制</w:t>
      </w:r>
      <w:r>
        <w:rPr>
          <w:rFonts w:hint="eastAsia" w:ascii="仿宋" w:hAnsi="仿宋" w:eastAsia="仿宋" w:cs="仿宋"/>
          <w:sz w:val="28"/>
          <w:szCs w:val="28"/>
          <w:highlight w:val="none"/>
          <w:lang w:val="en-US" w:eastAsia="zh-CN"/>
        </w:rPr>
        <w:t>及投标须知</w:t>
      </w:r>
      <w:r>
        <w:rPr>
          <w:rFonts w:hint="eastAsia" w:ascii="仿宋" w:hAnsi="仿宋" w:eastAsia="仿宋" w:cs="仿宋"/>
          <w:sz w:val="28"/>
          <w:szCs w:val="28"/>
          <w:highlight w:val="none"/>
        </w:rPr>
        <w:t>”。</w:t>
      </w:r>
    </w:p>
    <w:p w14:paraId="0724A55B">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2.除本文件另有规定外，计量单位为我国法定计量单位。</w:t>
      </w:r>
    </w:p>
    <w:p w14:paraId="6154BAB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（三）投标报价</w:t>
      </w:r>
    </w:p>
    <w:p w14:paraId="77E2168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1.投标人应按本文件提出的采购范围、内容及要求进行报价。</w:t>
      </w:r>
    </w:p>
    <w:p w14:paraId="1FFB1808">
      <w:pPr>
        <w:pageBreakBefore w:val="0"/>
        <w:widowControl w:val="0"/>
        <w:numPr>
          <w:ilvl w:val="0"/>
          <w:numId w:val="0"/>
        </w:numPr>
        <w:kinsoku/>
        <w:wordWrap/>
        <w:overflowPunct/>
        <w:topLinePunct w:val="0"/>
        <w:autoSpaceDE/>
        <w:autoSpaceDN/>
        <w:bidi w:val="0"/>
        <w:adjustRightInd/>
        <w:snapToGrid/>
        <w:spacing w:line="360" w:lineRule="auto"/>
        <w:ind w:left="6" w:leftChars="0" w:firstLine="560" w:firstLineChars="200"/>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rPr>
        <w:t>2.除本文件另有规定外，投标报价为</w:t>
      </w:r>
      <w:r>
        <w:rPr>
          <w:rFonts w:hint="eastAsia" w:ascii="仿宋" w:hAnsi="仿宋" w:eastAsia="仿宋" w:cs="仿宋"/>
          <w:b w:val="0"/>
          <w:bCs w:val="0"/>
          <w:sz w:val="28"/>
          <w:szCs w:val="28"/>
          <w:highlight w:val="none"/>
          <w:lang w:val="en-US" w:eastAsia="zh-CN"/>
        </w:rPr>
        <w:t>本次采购项目的全部价格，</w:t>
      </w:r>
      <w:r>
        <w:rPr>
          <w:rFonts w:hint="eastAsia" w:ascii="仿宋" w:hAnsi="仿宋" w:eastAsia="仿宋" w:cs="仿宋"/>
          <w:w w:val="95"/>
          <w:sz w:val="28"/>
          <w:szCs w:val="28"/>
          <w:highlight w:val="none"/>
          <w:lang w:val="zh-CN" w:eastAsia="zh-CN" w:bidi="zh-CN"/>
        </w:rPr>
        <w:t>包括但不限于材料费、人工费、管理费、保险费、包装费、装卸费、运输费、税金、利润等。</w:t>
      </w:r>
    </w:p>
    <w:p w14:paraId="5DB09251">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bookmarkStart w:id="11" w:name="_Toc291506257"/>
      <w:bookmarkStart w:id="12" w:name="_Toc227423920"/>
      <w:bookmarkStart w:id="13" w:name="_Toc15890"/>
      <w:r>
        <w:rPr>
          <w:rFonts w:hint="eastAsia" w:ascii="仿宋" w:hAnsi="仿宋" w:eastAsia="仿宋" w:cs="仿宋"/>
          <w:sz w:val="28"/>
          <w:szCs w:val="28"/>
          <w:highlight w:val="none"/>
        </w:rPr>
        <w:t>三、投标文件的递交</w:t>
      </w:r>
      <w:bookmarkEnd w:id="11"/>
      <w:bookmarkEnd w:id="12"/>
      <w:bookmarkEnd w:id="13"/>
    </w:p>
    <w:p w14:paraId="5A24FB5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1.投标文件的送达：投标文件应在投标截止时间前送达采购单位。</w:t>
      </w:r>
    </w:p>
    <w:p w14:paraId="36202C0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2.投标截止时间前，投标人可对所递交的投标文件进行补充、修改或撤回。</w:t>
      </w:r>
    </w:p>
    <w:p w14:paraId="217B328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3.投标人补充、修改或撤回时，须向招标采购单位出示加盖公章、经法人代表或授权代表（需出示有关证明）签字的函件。</w:t>
      </w:r>
    </w:p>
    <w:p w14:paraId="4DA078F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4.补充、修改的内容应当按照本文件的规定签署盖章，并密封。</w:t>
      </w:r>
    </w:p>
    <w:p w14:paraId="08A040B7">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5.补充、修改文件是投标文件的组成部分。</w:t>
      </w:r>
    </w:p>
    <w:p w14:paraId="02CEF0E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6.投标截止后，投标人不得补充、修改或撤回投标文件；但可以在开标前出示加盖公章、经法人代表或授权代表（需出示有关证明）签字的函件通知放弃投标。</w:t>
      </w:r>
    </w:p>
    <w:p w14:paraId="51475355">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四、</w:t>
      </w:r>
      <w:r>
        <w:rPr>
          <w:rFonts w:hint="eastAsia" w:ascii="仿宋" w:hAnsi="仿宋" w:eastAsia="仿宋" w:cs="仿宋"/>
          <w:sz w:val="28"/>
          <w:szCs w:val="28"/>
          <w:highlight w:val="none"/>
          <w:lang w:val="en-US" w:eastAsia="zh-CN"/>
        </w:rPr>
        <w:t>采购人成立</w:t>
      </w:r>
      <w:r>
        <w:rPr>
          <w:rFonts w:hint="eastAsia" w:ascii="仿宋" w:hAnsi="仿宋" w:eastAsia="仿宋" w:cs="仿宋"/>
          <w:sz w:val="28"/>
          <w:szCs w:val="28"/>
          <w:highlight w:val="none"/>
        </w:rPr>
        <w:t>采购评审小组独立履行下列职责：</w:t>
      </w:r>
    </w:p>
    <w:p w14:paraId="24560D53">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（一）审查投标文件是否符合本</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文件要求；</w:t>
      </w:r>
    </w:p>
    <w:p w14:paraId="46D27695">
      <w:pPr>
        <w:pageBreakBefore w:val="0"/>
        <w:shd w:val="clear"/>
        <w:kinsoku/>
        <w:wordWrap/>
        <w:overflowPunct/>
        <w:autoSpaceDE/>
        <w:autoSpaceDN/>
        <w:bidi w:val="0"/>
        <w:adjustRightInd w:val="0"/>
        <w:snapToGrid w:val="0"/>
        <w:spacing w:line="360" w:lineRule="auto"/>
        <w:ind w:left="0" w:leftChars="0" w:firstLine="0" w:firstLineChars="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（二）确定中标</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 xml:space="preserve"> </w:t>
      </w:r>
    </w:p>
    <w:p w14:paraId="269780AF">
      <w:pPr>
        <w:pageBreakBefore w:val="0"/>
        <w:shd w:val="clear"/>
        <w:kinsoku/>
        <w:wordWrap/>
        <w:overflowPunct/>
        <w:autoSpaceDE/>
        <w:autoSpaceDN/>
        <w:bidi w:val="0"/>
        <w:adjustRightInd w:val="0"/>
        <w:snapToGrid w:val="0"/>
        <w:spacing w:line="360" w:lineRule="auto"/>
        <w:ind w:left="0" w:leftChars="0" w:firstLine="484" w:firstLineChars="173"/>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五、投标人有下列情形之一的，视为无效投标。</w:t>
      </w:r>
    </w:p>
    <w:p w14:paraId="1AFE165F">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一</w:t>
      </w:r>
      <w:r>
        <w:rPr>
          <w:rFonts w:hint="eastAsia" w:ascii="仿宋" w:hAnsi="仿宋" w:eastAsia="仿宋" w:cs="仿宋"/>
          <w:sz w:val="28"/>
          <w:szCs w:val="28"/>
          <w:highlight w:val="none"/>
        </w:rPr>
        <w:t>）超出营业执照经营范围投标的；</w:t>
      </w:r>
    </w:p>
    <w:p w14:paraId="7F7C1CD9">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二</w:t>
      </w:r>
      <w:r>
        <w:rPr>
          <w:rFonts w:hint="eastAsia" w:ascii="仿宋" w:hAnsi="仿宋" w:eastAsia="仿宋" w:cs="仿宋"/>
          <w:sz w:val="28"/>
          <w:szCs w:val="28"/>
          <w:highlight w:val="none"/>
        </w:rPr>
        <w:t>）投标文件不符合采购文件要求的；</w:t>
      </w:r>
    </w:p>
    <w:p w14:paraId="7A755018">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）投标文件与事实不符的；</w:t>
      </w:r>
    </w:p>
    <w:p w14:paraId="675A8DD2">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）经采购评审小组一致认定为重大偏离的；</w:t>
      </w:r>
    </w:p>
    <w:p w14:paraId="3301BFE9">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）不符合法律、法规有关规定的。</w:t>
      </w:r>
      <w:r>
        <w:rPr>
          <w:rFonts w:hint="eastAsia" w:ascii="仿宋" w:hAnsi="仿宋" w:eastAsia="仿宋" w:cs="仿宋"/>
          <w:sz w:val="28"/>
          <w:szCs w:val="28"/>
          <w:highlight w:val="none"/>
        </w:rPr>
        <w:tab/>
      </w:r>
    </w:p>
    <w:p w14:paraId="573B6FA0">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28"/>
          <w:highlight w:val="none"/>
        </w:rPr>
      </w:pPr>
      <w:bookmarkStart w:id="14" w:name="_Toc7133"/>
      <w:bookmarkStart w:id="15" w:name="_Toc227423923"/>
      <w:r>
        <w:rPr>
          <w:rFonts w:hint="eastAsia" w:ascii="仿宋" w:hAnsi="仿宋" w:eastAsia="仿宋" w:cs="仿宋"/>
          <w:b w:val="0"/>
          <w:bCs w:val="0"/>
          <w:sz w:val="28"/>
          <w:szCs w:val="28"/>
          <w:highlight w:val="none"/>
        </w:rPr>
        <w:t>六、评标方法及标准</w:t>
      </w:r>
      <w:bookmarkEnd w:id="14"/>
      <w:bookmarkEnd w:id="15"/>
    </w:p>
    <w:p w14:paraId="598B2A5F">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（一）</w:t>
      </w:r>
      <w:r>
        <w:rPr>
          <w:rFonts w:hint="eastAsia" w:ascii="仿宋" w:hAnsi="仿宋" w:eastAsia="仿宋" w:cs="仿宋"/>
          <w:sz w:val="28"/>
          <w:szCs w:val="28"/>
          <w:highlight w:val="none"/>
        </w:rPr>
        <w:t>评标方法：</w:t>
      </w:r>
      <w:r>
        <w:rPr>
          <w:rFonts w:hint="eastAsia" w:ascii="仿宋" w:hAnsi="仿宋" w:eastAsia="仿宋" w:cs="仿宋"/>
          <w:sz w:val="28"/>
          <w:szCs w:val="28"/>
          <w:highlight w:val="none"/>
          <w:lang w:val="en-US" w:eastAsia="zh-CN"/>
        </w:rPr>
        <w:t>综合评估</w:t>
      </w:r>
      <w:r>
        <w:rPr>
          <w:rFonts w:hint="eastAsia" w:ascii="仿宋" w:hAnsi="仿宋" w:eastAsia="仿宋" w:cs="仿宋"/>
          <w:sz w:val="28"/>
          <w:szCs w:val="28"/>
          <w:highlight w:val="none"/>
        </w:rPr>
        <w:t>法</w:t>
      </w:r>
      <w:r>
        <w:rPr>
          <w:rFonts w:hint="eastAsia" w:ascii="仿宋" w:hAnsi="仿宋" w:eastAsia="仿宋" w:cs="仿宋"/>
          <w:sz w:val="28"/>
          <w:szCs w:val="28"/>
          <w:highlight w:val="none"/>
          <w:lang w:eastAsia="zh-CN"/>
        </w:rPr>
        <w:t>。</w:t>
      </w:r>
    </w:p>
    <w:p w14:paraId="61C27F38">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二</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评标标准：</w:t>
      </w:r>
      <w:r>
        <w:rPr>
          <w:rFonts w:hint="eastAsia" w:ascii="仿宋" w:hAnsi="仿宋" w:eastAsia="仿宋" w:cs="仿宋"/>
          <w:sz w:val="28"/>
          <w:szCs w:val="28"/>
          <w:highlight w:val="none"/>
        </w:rPr>
        <w:t>以下</w:t>
      </w:r>
      <w:r>
        <w:rPr>
          <w:rFonts w:hint="eastAsia" w:ascii="仿宋" w:hAnsi="仿宋" w:eastAsia="仿宋" w:cs="仿宋"/>
          <w:sz w:val="28"/>
          <w:szCs w:val="28"/>
          <w:highlight w:val="none"/>
          <w:lang w:val="en-US" w:eastAsia="zh-CN"/>
        </w:rPr>
        <w:t>2项</w:t>
      </w:r>
      <w:r>
        <w:rPr>
          <w:rFonts w:hint="eastAsia" w:ascii="仿宋" w:hAnsi="仿宋" w:eastAsia="仿宋" w:cs="仿宋"/>
          <w:sz w:val="28"/>
          <w:szCs w:val="28"/>
          <w:highlight w:val="none"/>
        </w:rPr>
        <w:t>条件</w:t>
      </w:r>
      <w:r>
        <w:rPr>
          <w:rFonts w:hint="eastAsia" w:ascii="仿宋" w:hAnsi="仿宋" w:eastAsia="仿宋" w:cs="仿宋"/>
          <w:sz w:val="28"/>
          <w:szCs w:val="28"/>
          <w:highlight w:val="none"/>
          <w:lang w:val="en-US" w:eastAsia="zh-CN"/>
        </w:rPr>
        <w:t>同时</w:t>
      </w:r>
      <w:r>
        <w:rPr>
          <w:rFonts w:hint="eastAsia" w:ascii="仿宋" w:hAnsi="仿宋" w:eastAsia="仿宋" w:cs="仿宋"/>
          <w:sz w:val="28"/>
          <w:szCs w:val="28"/>
          <w:highlight w:val="none"/>
        </w:rPr>
        <w:t>满足者中标：</w:t>
      </w:r>
    </w:p>
    <w:p w14:paraId="4C1099F4">
      <w:pPr>
        <w:pageBreakBefore w:val="0"/>
        <w:numPr>
          <w:ilvl w:val="0"/>
          <w:numId w:val="5"/>
        </w:numPr>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满足投标资格及所有询价条件；</w:t>
      </w:r>
    </w:p>
    <w:p w14:paraId="213ADA19">
      <w:pPr>
        <w:pageBreakBefore w:val="0"/>
        <w:numPr>
          <w:ilvl w:val="0"/>
          <w:numId w:val="5"/>
        </w:numPr>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评分最高者。</w:t>
      </w:r>
    </w:p>
    <w:p w14:paraId="15CB1FC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bookmarkStart w:id="16" w:name="_Toc291506261"/>
      <w:bookmarkStart w:id="17" w:name="_Toc2364"/>
      <w:bookmarkStart w:id="18" w:name="_Toc227423924"/>
      <w:r>
        <w:rPr>
          <w:rFonts w:hint="eastAsia" w:ascii="仿宋" w:hAnsi="仿宋" w:eastAsia="仿宋" w:cs="仿宋"/>
          <w:sz w:val="28"/>
          <w:szCs w:val="28"/>
          <w:highlight w:val="none"/>
        </w:rPr>
        <w:t>七、中标及合同签订</w:t>
      </w:r>
      <w:bookmarkEnd w:id="16"/>
      <w:bookmarkEnd w:id="17"/>
      <w:bookmarkEnd w:id="18"/>
    </w:p>
    <w:p w14:paraId="0CC79B27">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（一）中标通知</w:t>
      </w:r>
    </w:p>
    <w:p w14:paraId="12B4B0A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1.评标结束，确定中标人后，采购人将</w:t>
      </w:r>
      <w:r>
        <w:rPr>
          <w:rFonts w:hint="eastAsia" w:ascii="仿宋" w:hAnsi="仿宋" w:eastAsia="仿宋" w:cs="仿宋"/>
          <w:sz w:val="28"/>
          <w:szCs w:val="28"/>
          <w:highlight w:val="none"/>
          <w:lang w:val="en-US" w:eastAsia="zh-CN"/>
        </w:rPr>
        <w:t>成交结果发布在发布询价函的网站上</w:t>
      </w:r>
      <w:r>
        <w:rPr>
          <w:rFonts w:hint="eastAsia" w:ascii="仿宋" w:hAnsi="仿宋" w:eastAsia="仿宋" w:cs="仿宋"/>
          <w:sz w:val="28"/>
          <w:szCs w:val="28"/>
          <w:highlight w:val="none"/>
        </w:rPr>
        <w:t>。</w:t>
      </w:r>
    </w:p>
    <w:p w14:paraId="103C75E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2.招标采购单位不向落标的投标人解释落标原因，不退还投标文件。</w:t>
      </w:r>
    </w:p>
    <w:p w14:paraId="5FEDE6D3">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3.中标人有下列情形之一的，中标无效</w:t>
      </w:r>
      <w:commentRangeStart w:id="6"/>
      <w:r>
        <w:rPr>
          <w:rFonts w:hint="eastAsia" w:ascii="仿宋" w:hAnsi="仿宋" w:eastAsia="仿宋" w:cs="仿宋"/>
          <w:sz w:val="28"/>
          <w:szCs w:val="28"/>
          <w:highlight w:val="none"/>
        </w:rPr>
        <w:t>：</w:t>
      </w:r>
      <w:commentRangeEnd w:id="6"/>
      <w:r>
        <w:rPr>
          <w:highlight w:val="none"/>
        </w:rPr>
        <w:commentReference w:id="6"/>
      </w:r>
    </w:p>
    <w:p w14:paraId="71F61A10">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（1）中标后无正当理由不与采购人签订合同，或者与采购人另行订立背离合同实质性内容的协议的；</w:t>
      </w:r>
    </w:p>
    <w:p w14:paraId="20FEB09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（2）将中标项目转让给他人，或者在投标文件中未说明，且未经采购人同意，将中标项目分包给他人的；</w:t>
      </w:r>
    </w:p>
    <w:p w14:paraId="4551C97F">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（3）拒绝履行合同义务的。</w:t>
      </w:r>
    </w:p>
    <w:p w14:paraId="5300B0A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（二）合同签订</w:t>
      </w:r>
    </w:p>
    <w:p w14:paraId="1109196C">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1.签订合同前，采购人可对中标人的投标文件（含答复、补充文件）进行真实性查验，凡有虚假的，其中标无效，并依据有关规定给予违法违规处理。</w:t>
      </w:r>
    </w:p>
    <w:p w14:paraId="0C4AE88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2.采购人在中标通知书发布之日起30日内，与中标人按范本格式制作并签订采购合同。项目数量增减、合同条款变更等按采购人相关规定另行签订补充合同。</w:t>
      </w:r>
    </w:p>
    <w:p w14:paraId="1DD8DCA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3.本文件（含补充、修改文件）、中标人的投标文件（含答复、补充文件）均为签订采购合同的依据。</w:t>
      </w:r>
    </w:p>
    <w:p w14:paraId="7133B430">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4.中标人因不可抗力或自身原因不能签订采购合同或者不能履行合同的，采购人重新进行采购</w:t>
      </w:r>
      <w:commentRangeStart w:id="7"/>
      <w:r>
        <w:rPr>
          <w:rFonts w:hint="eastAsia" w:ascii="仿宋" w:hAnsi="仿宋" w:eastAsia="仿宋" w:cs="仿宋"/>
          <w:sz w:val="28"/>
          <w:szCs w:val="28"/>
          <w:highlight w:val="none"/>
        </w:rPr>
        <w:t>。</w:t>
      </w:r>
      <w:commentRangeEnd w:id="7"/>
      <w:r>
        <w:rPr>
          <w:highlight w:val="none"/>
        </w:rPr>
        <w:commentReference w:id="7"/>
      </w:r>
    </w:p>
    <w:p w14:paraId="09E753DB">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5.合同履行中，根据实际需求，采购人需追加采购合同标的之外的</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rPr>
        <w:t>，可与中标</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就</w:t>
      </w:r>
      <w:r>
        <w:rPr>
          <w:rFonts w:hint="eastAsia" w:ascii="仿宋" w:hAnsi="仿宋" w:eastAsia="仿宋" w:cs="仿宋"/>
          <w:sz w:val="28"/>
          <w:szCs w:val="28"/>
          <w:highlight w:val="none"/>
          <w:lang w:val="en-US" w:eastAsia="zh-CN"/>
        </w:rPr>
        <w:t>费用</w:t>
      </w:r>
      <w:r>
        <w:rPr>
          <w:rFonts w:hint="eastAsia" w:ascii="仿宋" w:hAnsi="仿宋" w:eastAsia="仿宋" w:cs="仿宋"/>
          <w:sz w:val="28"/>
          <w:szCs w:val="28"/>
          <w:highlight w:val="none"/>
        </w:rPr>
        <w:t>进行协商谈判后，</w:t>
      </w:r>
      <w:r>
        <w:rPr>
          <w:rFonts w:hint="eastAsia" w:ascii="仿宋" w:hAnsi="仿宋" w:eastAsia="仿宋" w:cs="仿宋"/>
          <w:sz w:val="28"/>
          <w:szCs w:val="28"/>
          <w:highlight w:val="none"/>
          <w:lang w:val="en-US" w:eastAsia="zh-CN"/>
        </w:rPr>
        <w:t>签订补充协议</w:t>
      </w:r>
      <w:r>
        <w:rPr>
          <w:rFonts w:hint="eastAsia" w:ascii="仿宋" w:hAnsi="仿宋" w:eastAsia="仿宋" w:cs="仿宋"/>
          <w:sz w:val="28"/>
          <w:szCs w:val="28"/>
          <w:highlight w:val="none"/>
        </w:rPr>
        <w:t>。</w:t>
      </w:r>
    </w:p>
    <w:p w14:paraId="797B8DDF">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八、其他商务条件</w:t>
      </w:r>
    </w:p>
    <w:p w14:paraId="35522738">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（一）交货期：按照甲方计划的时间内完成供货安装等服务。</w:t>
      </w:r>
    </w:p>
    <w:p w14:paraId="60A2A7DC">
      <w:pPr>
        <w:pageBreakBefore w:val="0"/>
        <w:numPr>
          <w:ilvl w:val="0"/>
          <w:numId w:val="0"/>
        </w:numPr>
        <w:shd w:val="clear"/>
        <w:kinsoku/>
        <w:wordWrap/>
        <w:overflowPunct/>
        <w:topLinePunct/>
        <w:autoSpaceDE/>
        <w:autoSpaceDN/>
        <w:bidi w:val="0"/>
        <w:adjustRightInd w:val="0"/>
        <w:snapToGrid w:val="0"/>
        <w:spacing w:line="360" w:lineRule="auto"/>
        <w:ind w:left="420" w:leftChars="200" w:firstLine="140" w:firstLineChars="5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（二）</w:t>
      </w:r>
      <w:r>
        <w:rPr>
          <w:rFonts w:hint="eastAsia" w:ascii="仿宋" w:hAnsi="仿宋" w:eastAsia="仿宋" w:cs="仿宋"/>
          <w:sz w:val="28"/>
          <w:szCs w:val="28"/>
          <w:highlight w:val="none"/>
        </w:rPr>
        <w:t>售后服务：成交供应商应提供及时周到的售后服务</w:t>
      </w:r>
      <w:r>
        <w:rPr>
          <w:rFonts w:hint="eastAsia" w:ascii="仿宋" w:hAnsi="仿宋" w:eastAsia="仿宋" w:cs="仿宋"/>
          <w:sz w:val="28"/>
          <w:szCs w:val="28"/>
          <w:highlight w:val="none"/>
          <w:lang w:eastAsia="zh-CN"/>
        </w:rPr>
        <w:t>，在</w:t>
      </w:r>
      <w:r>
        <w:rPr>
          <w:rFonts w:hint="eastAsia" w:ascii="仿宋" w:hAnsi="仿宋" w:eastAsia="仿宋" w:cs="仿宋"/>
          <w:sz w:val="28"/>
          <w:szCs w:val="28"/>
          <w:highlight w:val="none"/>
          <w:lang w:val="en-US" w:eastAsia="zh-CN"/>
        </w:rPr>
        <w:t>质保期内免费为甲方提供技术指导服务，因质量问题引起的故障免费维修，且维修产生的运费等均由乙方承担</w:t>
      </w:r>
      <w:r>
        <w:rPr>
          <w:rFonts w:hint="eastAsia" w:ascii="仿宋" w:hAnsi="仿宋" w:eastAsia="仿宋" w:cs="仿宋"/>
          <w:sz w:val="28"/>
          <w:szCs w:val="28"/>
          <w:highlight w:val="none"/>
        </w:rPr>
        <w:t>。</w:t>
      </w:r>
    </w:p>
    <w:p w14:paraId="25F52A87">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乙方货物及服务</w:t>
      </w:r>
      <w:r>
        <w:rPr>
          <w:rFonts w:hint="eastAsia" w:ascii="仿宋" w:hAnsi="仿宋" w:eastAsia="仿宋" w:cs="仿宋"/>
          <w:sz w:val="28"/>
          <w:szCs w:val="28"/>
          <w:highlight w:val="none"/>
        </w:rPr>
        <w:t>须符合甲方ISO国际标准质量、环境、职业安全健康一体化管理体系要求。</w:t>
      </w:r>
    </w:p>
    <w:p w14:paraId="1086FE60">
      <w:pPr>
        <w:pageBreakBefore w:val="0"/>
        <w:numPr>
          <w:ilvl w:val="0"/>
          <w:numId w:val="0"/>
        </w:numPr>
        <w:shd w:val="clear"/>
        <w:kinsoku/>
        <w:wordWrap/>
        <w:overflowPunct/>
        <w:topLinePunct/>
        <w:autoSpaceDE/>
        <w:autoSpaceDN/>
        <w:bidi w:val="0"/>
        <w:adjustRightInd w:val="0"/>
        <w:snapToGrid w:val="0"/>
        <w:spacing w:line="360" w:lineRule="auto"/>
        <w:ind w:left="420" w:leftChars="200" w:firstLine="140" w:firstLineChars="5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lang w:val="en-US" w:eastAsia="zh-CN"/>
        </w:rPr>
        <w:t>安全施工要求</w:t>
      </w:r>
    </w:p>
    <w:p w14:paraId="624C3511">
      <w:pPr>
        <w:pageBreakBefore w:val="0"/>
        <w:numPr>
          <w:ilvl w:val="0"/>
          <w:numId w:val="0"/>
        </w:numPr>
        <w:shd w:val="clear"/>
        <w:kinsoku/>
        <w:wordWrap/>
        <w:overflowPunct/>
        <w:topLinePunct/>
        <w:autoSpaceDE/>
        <w:autoSpaceDN/>
        <w:bidi w:val="0"/>
        <w:adjustRightInd w:val="0"/>
        <w:snapToGrid w:val="0"/>
        <w:spacing w:line="360" w:lineRule="auto"/>
        <w:ind w:leftChars="0"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1.项目承包人应遵守国家法律、法规、制度、条例，依据国家和地方规范、标准，以及甲方提出的要求进行项目服务，在现场操作时必须遵守甲方的安全管理规定，一切因承包人现场操作不当造成的人身及经济损失均由乙方承担，并赔偿甲方经济损失。</w:t>
      </w:r>
    </w:p>
    <w:p w14:paraId="5D65B0BB">
      <w:pPr>
        <w:pageBreakBefore w:val="0"/>
        <w:numPr>
          <w:ilvl w:val="0"/>
          <w:numId w:val="0"/>
        </w:numPr>
        <w:shd w:val="clear"/>
        <w:kinsoku/>
        <w:wordWrap/>
        <w:overflowPunct/>
        <w:topLinePunct/>
        <w:autoSpaceDE/>
        <w:autoSpaceDN/>
        <w:bidi w:val="0"/>
        <w:adjustRightInd w:val="0"/>
        <w:snapToGrid w:val="0"/>
        <w:spacing w:line="360" w:lineRule="auto"/>
        <w:ind w:leftChars="0"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2.施工期间，项目承包人需遵守甲方的各种规章制度和工程的施工要求，在甲方限定的时间内完成相应的工作量。</w:t>
      </w:r>
    </w:p>
    <w:p w14:paraId="7E769A9B">
      <w:pPr>
        <w:pageBreakBefore w:val="0"/>
        <w:numPr>
          <w:ilvl w:val="0"/>
          <w:numId w:val="0"/>
        </w:numPr>
        <w:shd w:val="clear"/>
        <w:kinsoku/>
        <w:wordWrap/>
        <w:overflowPunct/>
        <w:topLinePunct/>
        <w:autoSpaceDE/>
        <w:autoSpaceDN/>
        <w:bidi w:val="0"/>
        <w:adjustRightInd w:val="0"/>
        <w:snapToGrid w:val="0"/>
        <w:spacing w:line="360" w:lineRule="auto"/>
        <w:ind w:leftChars="0" w:firstLine="560" w:firstLineChars="200"/>
        <w:textAlignment w:val="auto"/>
        <w:rPr>
          <w:rFonts w:hint="eastAsia"/>
          <w:highlight w:val="none"/>
          <w:lang w:val="en-US" w:eastAsia="zh-CN"/>
        </w:rPr>
      </w:pPr>
      <w:r>
        <w:rPr>
          <w:rFonts w:hint="eastAsia" w:ascii="仿宋" w:hAnsi="仿宋" w:eastAsia="仿宋" w:cs="仿宋"/>
          <w:b w:val="0"/>
          <w:bCs/>
          <w:sz w:val="28"/>
          <w:szCs w:val="28"/>
          <w:highlight w:val="none"/>
          <w:lang w:val="en-US" w:eastAsia="zh-CN"/>
        </w:rPr>
        <w:t>3.乙方现场必须有项目负责人和安全责任人，并签订安全生产协议书，负责项目服务的质量和安全，出现意外情况，立即执行紧急方案。</w:t>
      </w:r>
    </w:p>
    <w:p w14:paraId="61B57D6D">
      <w:pPr>
        <w:pageBreakBefore w:val="0"/>
        <w:numPr>
          <w:ilvl w:val="0"/>
          <w:numId w:val="4"/>
        </w:numPr>
        <w:shd w:val="clear"/>
        <w:kinsoku/>
        <w:wordWrap/>
        <w:overflowPunct/>
        <w:autoSpaceDE/>
        <w:autoSpaceDN/>
        <w:bidi w:val="0"/>
        <w:adjustRightInd w:val="0"/>
        <w:snapToGrid w:val="0"/>
        <w:spacing w:line="360" w:lineRule="auto"/>
        <w:ind w:left="0" w:leftChars="0" w:firstLine="723" w:firstLineChars="200"/>
        <w:jc w:val="center"/>
        <w:textAlignment w:val="auto"/>
        <w:rPr>
          <w:rFonts w:hint="eastAsia" w:ascii="仿宋" w:hAnsi="仿宋" w:eastAsia="仿宋" w:cs="仿宋"/>
          <w:b/>
          <w:bCs/>
          <w:sz w:val="36"/>
          <w:szCs w:val="36"/>
          <w:highlight w:val="none"/>
          <w:lang w:val="en-US" w:eastAsia="zh-CN"/>
        </w:rPr>
      </w:pPr>
      <w:r>
        <w:rPr>
          <w:rFonts w:hint="eastAsia" w:ascii="仿宋" w:hAnsi="仿宋" w:eastAsia="仿宋" w:cs="仿宋"/>
          <w:b/>
          <w:bCs/>
          <w:sz w:val="36"/>
          <w:szCs w:val="36"/>
          <w:highlight w:val="none"/>
          <w:lang w:val="en-US" w:eastAsia="zh-CN"/>
        </w:rPr>
        <w:t>技术标准、要求及采购清单</w:t>
      </w:r>
    </w:p>
    <w:p w14:paraId="534D2309">
      <w:pPr>
        <w:pStyle w:val="3"/>
        <w:rPr>
          <w:rFonts w:hint="default" w:ascii="仿宋" w:hAnsi="仿宋" w:eastAsia="仿宋" w:cs="仿宋"/>
          <w:b w:val="0"/>
          <w:bCs w:val="0"/>
          <w:sz w:val="28"/>
          <w:szCs w:val="28"/>
          <w:highlight w:val="none"/>
          <w:shd w:val="clear" w:color="auto" w:fill="FFFFFF"/>
          <w:lang w:val="en-US" w:eastAsia="zh-CN"/>
        </w:rPr>
      </w:pPr>
      <w:bookmarkStart w:id="19" w:name="_Toc19211"/>
      <w:bookmarkStart w:id="20" w:name="_Toc635"/>
      <w:bookmarkStart w:id="21" w:name="_Toc227520434"/>
      <w:r>
        <w:rPr>
          <w:rFonts w:hint="eastAsia" w:ascii="仿宋" w:hAnsi="仿宋" w:eastAsia="仿宋" w:cs="仿宋"/>
          <w:b w:val="0"/>
          <w:bCs w:val="0"/>
          <w:sz w:val="28"/>
          <w:szCs w:val="28"/>
          <w:highlight w:val="none"/>
          <w:shd w:val="clear" w:color="auto" w:fill="FFFFFF"/>
          <w:lang w:val="en-US" w:eastAsia="zh-CN"/>
        </w:rPr>
        <w:t>一、</w:t>
      </w:r>
      <w:bookmarkEnd w:id="19"/>
      <w:r>
        <w:rPr>
          <w:rFonts w:hint="eastAsia" w:ascii="仿宋" w:hAnsi="仿宋" w:eastAsia="仿宋" w:cs="仿宋"/>
          <w:b w:val="0"/>
          <w:bCs w:val="0"/>
          <w:sz w:val="28"/>
          <w:szCs w:val="28"/>
          <w:highlight w:val="none"/>
          <w:shd w:val="clear" w:color="auto" w:fill="FFFFFF"/>
          <w:lang w:val="en-US" w:eastAsia="zh-CN"/>
        </w:rPr>
        <w:t>主要建设要求</w:t>
      </w:r>
    </w:p>
    <w:p w14:paraId="17663395">
      <w:pPr>
        <w:widowControl w:val="0"/>
        <w:spacing w:line="360" w:lineRule="auto"/>
        <w:ind w:firstLine="560" w:firstLineChars="200"/>
        <w:jc w:val="both"/>
        <w:rPr>
          <w:rFonts w:hint="eastAsia" w:ascii="仿宋" w:hAnsi="仿宋" w:eastAsia="仿宋" w:cs="仿宋"/>
          <w:kern w:val="2"/>
          <w:sz w:val="28"/>
          <w:szCs w:val="28"/>
          <w:highlight w:val="none"/>
          <w:shd w:val="clear" w:color="auto" w:fill="FFFFFF"/>
          <w:lang w:val="en-US" w:eastAsia="zh-CN" w:bidi="ar-SA"/>
        </w:rPr>
      </w:pPr>
      <w:r>
        <w:rPr>
          <w:rFonts w:hint="eastAsia" w:ascii="仿宋" w:hAnsi="仿宋" w:eastAsia="仿宋" w:cs="仿宋"/>
          <w:kern w:val="2"/>
          <w:sz w:val="28"/>
          <w:szCs w:val="28"/>
          <w:highlight w:val="none"/>
          <w:shd w:val="clear" w:color="auto" w:fill="FFFFFF"/>
          <w:lang w:val="en-US" w:eastAsia="zh-CN" w:bidi="ar-SA"/>
        </w:rPr>
        <w:t>本项目扩建以“强化周界主动防御、构建智能安防中枢”为核心目标，通过安装电子围栏和智慧安防平台系统性提升水厂安防能力，达到：</w:t>
      </w:r>
    </w:p>
    <w:p w14:paraId="76663134">
      <w:pPr>
        <w:widowControl w:val="0"/>
        <w:spacing w:line="360" w:lineRule="auto"/>
        <w:ind w:firstLine="560" w:firstLineChars="200"/>
        <w:jc w:val="both"/>
        <w:rPr>
          <w:rFonts w:hint="eastAsia" w:ascii="仿宋" w:hAnsi="仿宋" w:eastAsia="仿宋" w:cs="仿宋"/>
          <w:kern w:val="2"/>
          <w:sz w:val="28"/>
          <w:szCs w:val="28"/>
          <w:highlight w:val="none"/>
          <w:shd w:val="clear" w:color="auto" w:fill="FFFFFF"/>
          <w:lang w:val="en-US" w:eastAsia="zh-CN" w:bidi="ar-SA"/>
        </w:rPr>
      </w:pPr>
      <w:r>
        <w:rPr>
          <w:rFonts w:hint="eastAsia" w:ascii="仿宋" w:hAnsi="仿宋" w:eastAsia="仿宋" w:cs="仿宋"/>
          <w:kern w:val="2"/>
          <w:sz w:val="28"/>
          <w:szCs w:val="28"/>
          <w:highlight w:val="none"/>
          <w:shd w:val="clear" w:color="auto" w:fill="FFFFFF"/>
          <w:lang w:val="en-US" w:eastAsia="zh-CN" w:bidi="ar-SA"/>
        </w:rPr>
        <w:t>一是部署周界电子围栏系统，严格遵循《脉冲电子围栏及其安装和安全运行》（GA/T 367-2019）标准，沿主厂区周界布设脉冲电子围栏，按每100米划分独立防区，具有物理屏障、主动反击、延迟入侵、准确报警、安全防护等特性。</w:t>
      </w:r>
    </w:p>
    <w:p w14:paraId="2F557B3E">
      <w:pPr>
        <w:widowControl w:val="0"/>
        <w:spacing w:line="360" w:lineRule="auto"/>
        <w:ind w:firstLine="560" w:firstLineChars="200"/>
        <w:jc w:val="both"/>
        <w:rPr>
          <w:rFonts w:hint="eastAsia" w:ascii="仿宋" w:hAnsi="仿宋" w:eastAsia="仿宋" w:cs="仿宋"/>
          <w:kern w:val="2"/>
          <w:sz w:val="28"/>
          <w:szCs w:val="28"/>
          <w:highlight w:val="none"/>
          <w:shd w:val="clear" w:color="auto" w:fill="FFFFFF"/>
          <w:lang w:val="en-US" w:eastAsia="zh-CN" w:bidi="ar-SA"/>
        </w:rPr>
      </w:pPr>
      <w:r>
        <w:rPr>
          <w:rFonts w:hint="eastAsia" w:ascii="仿宋" w:hAnsi="仿宋" w:eastAsia="仿宋" w:cs="仿宋"/>
          <w:kern w:val="2"/>
          <w:sz w:val="28"/>
          <w:szCs w:val="28"/>
          <w:highlight w:val="none"/>
          <w:shd w:val="clear" w:color="auto" w:fill="FFFFFF"/>
          <w:lang w:val="en-US" w:eastAsia="zh-CN" w:bidi="ar-SA"/>
        </w:rPr>
        <w:t>二是部署集成AI视觉识别的智慧安防管理平台，具备以下功能：设备管理（统一纳管）、周界管理（电子围栏与入侵报警）、视频监控（实时调阅、云台控制、录像回溯）、智能报警（区域入侵、不安全行为、安全隐患等）、数据分析（安防事件统计与洞察）、门禁管理及数据分析，实现“统一管理、智能分析、数据驱动”的安防中枢，支撑反恐达标与标准化运营。</w:t>
      </w:r>
    </w:p>
    <w:p w14:paraId="75996DE7">
      <w:pPr>
        <w:pStyle w:val="32"/>
        <w:numPr>
          <w:ilvl w:val="0"/>
          <w:numId w:val="0"/>
        </w:numPr>
        <w:ind w:leftChars="0"/>
        <w:rPr>
          <w:rFonts w:hint="eastAsia" w:ascii="仿宋" w:hAnsi="仿宋" w:eastAsia="仿宋" w:cs="仿宋"/>
          <w:sz w:val="28"/>
          <w:szCs w:val="28"/>
          <w:highlight w:val="none"/>
        </w:rPr>
      </w:pPr>
      <w:r>
        <w:rPr>
          <w:rFonts w:hint="eastAsia" w:ascii="仿宋" w:hAnsi="仿宋" w:eastAsia="仿宋" w:cs="仿宋"/>
          <w:b w:val="0"/>
          <w:bCs w:val="0"/>
          <w:sz w:val="28"/>
          <w:szCs w:val="28"/>
          <w:highlight w:val="none"/>
          <w:lang w:val="en-US" w:eastAsia="zh-CN"/>
        </w:rPr>
        <w:t>二、技术标准</w:t>
      </w:r>
    </w:p>
    <w:p w14:paraId="63CBC1B0">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《脉冲电子围栏安装及其安全运行》GB/T7946-2008</w:t>
      </w:r>
    </w:p>
    <w:p w14:paraId="1D0081A5">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《防盗报警控制器通用技术条件》GB12663-2001</w:t>
      </w:r>
    </w:p>
    <w:p w14:paraId="377A57C1">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《报警系统电源装置、测试方法和性能规范》GB/T15408-1994</w:t>
      </w:r>
    </w:p>
    <w:p w14:paraId="6B856585">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《安全防盗报警设备安全要求和试验方法》GB/T16796-1997</w:t>
      </w:r>
    </w:p>
    <w:p w14:paraId="66D29248">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《入侵报警系统技术要求》GA/T368-2001</w:t>
      </w:r>
    </w:p>
    <w:p w14:paraId="38F23C37">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《视频安防监控系统技术要求》（GA/T367-2001）</w:t>
      </w:r>
    </w:p>
    <w:p w14:paraId="054B8BE5">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《安全防范工程程序与要求》（GA/T75-94）</w:t>
      </w:r>
    </w:p>
    <w:p w14:paraId="3E4292F4">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《安全防范工程技术规范》(GB50348-2004)</w:t>
      </w:r>
    </w:p>
    <w:p w14:paraId="19F298AA">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《城市供水系统反恐怖防范要求》</w:t>
      </w:r>
      <w:r>
        <w:rPr>
          <w:rFonts w:hint="eastAsia" w:ascii="仿宋" w:hAnsi="仿宋" w:eastAsia="仿宋" w:cs="仿宋"/>
          <w:sz w:val="28"/>
          <w:szCs w:val="28"/>
          <w:highlight w:val="none"/>
          <w:lang w:eastAsia="zh-CN"/>
        </w:rPr>
        <w:t>（GA 1809-2022）</w:t>
      </w:r>
    </w:p>
    <w:p w14:paraId="46494B37">
      <w:pPr>
        <w:pStyle w:val="32"/>
        <w:numPr>
          <w:ilvl w:val="0"/>
          <w:numId w:val="6"/>
        </w:numPr>
        <w:ind w:firstLineChars="0"/>
        <w:rPr>
          <w:rFonts w:hint="eastAsia" w:ascii="仿宋" w:hAnsi="仿宋" w:eastAsia="仿宋" w:cs="仿宋"/>
          <w:sz w:val="28"/>
          <w:szCs w:val="28"/>
          <w:highlight w:val="none"/>
        </w:rPr>
      </w:pPr>
      <w:r>
        <w:rPr>
          <w:rFonts w:hint="eastAsia" w:ascii="仿宋" w:hAnsi="仿宋" w:eastAsia="仿宋" w:cs="仿宋"/>
          <w:sz w:val="28"/>
          <w:szCs w:val="28"/>
          <w:highlight w:val="none"/>
        </w:rPr>
        <w:t>《建筑物电子信息系统防雷技术规范》(GB50343-2012)</w:t>
      </w:r>
    </w:p>
    <w:p w14:paraId="586CFAD1">
      <w:pPr>
        <w:pStyle w:val="32"/>
        <w:numPr>
          <w:ilvl w:val="0"/>
          <w:numId w:val="0"/>
        </w:numPr>
        <w:ind w:leftChars="0"/>
        <w:rPr>
          <w:rFonts w:hint="eastAsia" w:ascii="仿宋" w:hAnsi="仿宋" w:eastAsia="仿宋" w:cs="仿宋"/>
          <w:sz w:val="28"/>
          <w:szCs w:val="28"/>
          <w:highlight w:val="none"/>
        </w:rPr>
      </w:pPr>
    </w:p>
    <w:p w14:paraId="2725D069">
      <w:pPr>
        <w:pStyle w:val="32"/>
        <w:numPr>
          <w:ilvl w:val="0"/>
          <w:numId w:val="2"/>
        </w:num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两水厂平面图</w:t>
      </w:r>
    </w:p>
    <w:p w14:paraId="6103B845">
      <w:pPr>
        <w:pStyle w:val="32"/>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sz w:val="28"/>
          <w:szCs w:val="28"/>
          <w:highlight w:val="none"/>
          <w:lang w:val="en-US" w:eastAsia="zh-CN"/>
        </w:rPr>
      </w:pPr>
    </w:p>
    <w:p w14:paraId="404CDC6C">
      <w:pPr>
        <w:pStyle w:val="32"/>
        <w:numPr>
          <w:ilvl w:val="0"/>
          <w:numId w:val="0"/>
        </w:numPr>
        <w:kinsoku w:val="0"/>
        <w:autoSpaceDE w:val="0"/>
        <w:autoSpaceDN w:val="0"/>
        <w:adjustRightInd w:val="0"/>
        <w:snapToGrid w:val="0"/>
        <w:spacing w:line="240" w:lineRule="auto"/>
        <w:jc w:val="left"/>
        <w:textAlignment w:val="baseline"/>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1.管家楼水厂平面图</w:t>
      </w:r>
    </w:p>
    <w:p w14:paraId="284BB270">
      <w:pPr>
        <w:pStyle w:val="32"/>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drawing>
          <wp:inline distT="0" distB="0" distL="114300" distR="114300">
            <wp:extent cx="4226560" cy="5922010"/>
            <wp:effectExtent l="0" t="0" r="2540" b="2540"/>
            <wp:docPr id="15" name="图片 15" descr="11928876-af46-47e2-9062-82eef4c01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928876-af46-47e2-9062-82eef4c01faf"/>
                    <pic:cNvPicPr>
                      <a:picLocks noChangeAspect="1"/>
                    </pic:cNvPicPr>
                  </pic:nvPicPr>
                  <pic:blipFill>
                    <a:blip r:embed="rId20"/>
                    <a:stretch>
                      <a:fillRect/>
                    </a:stretch>
                  </pic:blipFill>
                  <pic:spPr>
                    <a:xfrm>
                      <a:off x="0" y="0"/>
                      <a:ext cx="4226560" cy="5922010"/>
                    </a:xfrm>
                    <a:prstGeom prst="rect">
                      <a:avLst/>
                    </a:prstGeom>
                  </pic:spPr>
                </pic:pic>
              </a:graphicData>
            </a:graphic>
          </wp:inline>
        </w:drawing>
      </w:r>
    </w:p>
    <w:p w14:paraId="2BE26A40">
      <w:pPr>
        <w:pStyle w:val="32"/>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sz w:val="28"/>
          <w:szCs w:val="28"/>
          <w:highlight w:val="none"/>
          <w:lang w:val="en-US" w:eastAsia="zh-CN"/>
        </w:rPr>
      </w:pPr>
    </w:p>
    <w:p w14:paraId="3221D47A">
      <w:pPr>
        <w:pStyle w:val="32"/>
        <w:numPr>
          <w:ilvl w:val="0"/>
          <w:numId w:val="0"/>
        </w:numPr>
        <w:kinsoku w:val="0"/>
        <w:autoSpaceDE w:val="0"/>
        <w:autoSpaceDN w:val="0"/>
        <w:adjustRightInd w:val="0"/>
        <w:snapToGrid w:val="0"/>
        <w:spacing w:line="240" w:lineRule="auto"/>
        <w:ind w:leftChars="200"/>
        <w:jc w:val="left"/>
        <w:textAlignment w:val="baseline"/>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2.红石崖水厂平面图</w:t>
      </w:r>
    </w:p>
    <w:p w14:paraId="13C3373E">
      <w:pPr>
        <w:pStyle w:val="32"/>
        <w:numPr>
          <w:ilvl w:val="0"/>
          <w:numId w:val="0"/>
        </w:numPr>
        <w:kinsoku w:val="0"/>
        <w:autoSpaceDE w:val="0"/>
        <w:autoSpaceDN w:val="0"/>
        <w:adjustRightInd w:val="0"/>
        <w:snapToGrid w:val="0"/>
        <w:spacing w:line="240" w:lineRule="auto"/>
        <w:ind w:leftChars="200"/>
        <w:jc w:val="left"/>
        <w:textAlignment w:val="baseline"/>
        <w:rPr>
          <w:rFonts w:hint="eastAsia" w:ascii="仿宋" w:hAnsi="仿宋" w:eastAsia="仿宋" w:cs="仿宋"/>
          <w:sz w:val="28"/>
          <w:szCs w:val="28"/>
          <w:highlight w:val="none"/>
          <w:lang w:val="en-US" w:eastAsia="zh-CN"/>
        </w:rPr>
      </w:pPr>
    </w:p>
    <w:p w14:paraId="402B71DC">
      <w:pPr>
        <w:pStyle w:val="32"/>
        <w:numPr>
          <w:ilvl w:val="0"/>
          <w:numId w:val="0"/>
        </w:numPr>
        <w:kinsoku w:val="0"/>
        <w:autoSpaceDE w:val="0"/>
        <w:autoSpaceDN w:val="0"/>
        <w:adjustRightInd w:val="0"/>
        <w:snapToGrid w:val="0"/>
        <w:spacing w:line="240" w:lineRule="auto"/>
        <w:ind w:leftChars="200"/>
        <w:jc w:val="left"/>
        <w:textAlignment w:val="baseline"/>
        <w:rPr>
          <w:rFonts w:hint="eastAsia" w:ascii="仿宋" w:hAnsi="仿宋" w:eastAsia="仿宋" w:cs="仿宋"/>
          <w:sz w:val="28"/>
          <w:szCs w:val="28"/>
          <w:highlight w:val="none"/>
          <w:lang w:val="en-US" w:eastAsia="zh-CN"/>
        </w:rPr>
      </w:pPr>
      <w:r>
        <w:rPr>
          <w:highlight w:val="none"/>
        </w:rPr>
        <w:drawing>
          <wp:inline distT="0" distB="0" distL="114300" distR="114300">
            <wp:extent cx="5828665" cy="4072890"/>
            <wp:effectExtent l="0" t="0" r="635"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1"/>
                    <a:stretch>
                      <a:fillRect/>
                    </a:stretch>
                  </pic:blipFill>
                  <pic:spPr>
                    <a:xfrm>
                      <a:off x="0" y="0"/>
                      <a:ext cx="5828665" cy="4072890"/>
                    </a:xfrm>
                    <a:prstGeom prst="rect">
                      <a:avLst/>
                    </a:prstGeom>
                    <a:noFill/>
                    <a:ln>
                      <a:noFill/>
                    </a:ln>
                  </pic:spPr>
                </pic:pic>
              </a:graphicData>
            </a:graphic>
          </wp:inline>
        </w:drawing>
      </w:r>
    </w:p>
    <w:p w14:paraId="47E3F0CD">
      <w:pPr>
        <w:pStyle w:val="32"/>
        <w:numPr>
          <w:ilvl w:val="0"/>
          <w:numId w:val="0"/>
        </w:numPr>
        <w:kinsoku w:val="0"/>
        <w:autoSpaceDE w:val="0"/>
        <w:autoSpaceDN w:val="0"/>
        <w:adjustRightInd w:val="0"/>
        <w:snapToGrid w:val="0"/>
        <w:spacing w:line="240" w:lineRule="auto"/>
        <w:ind w:leftChars="200"/>
        <w:jc w:val="left"/>
        <w:textAlignment w:val="baseline"/>
        <w:rPr>
          <w:rFonts w:hint="eastAsia" w:ascii="仿宋" w:hAnsi="仿宋" w:eastAsia="仿宋" w:cs="仿宋"/>
          <w:sz w:val="28"/>
          <w:szCs w:val="28"/>
          <w:highlight w:val="none"/>
          <w:lang w:val="en-US" w:eastAsia="zh-CN"/>
        </w:rPr>
      </w:pPr>
    </w:p>
    <w:p w14:paraId="4FC5C832">
      <w:pPr>
        <w:pStyle w:val="32"/>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sz w:val="28"/>
          <w:szCs w:val="28"/>
          <w:highlight w:val="none"/>
          <w:lang w:val="en-US" w:eastAsia="zh-CN"/>
        </w:rPr>
      </w:pPr>
    </w:p>
    <w:p w14:paraId="2746BFCD">
      <w:pPr>
        <w:pStyle w:val="32"/>
        <w:numPr>
          <w:ilvl w:val="0"/>
          <w:numId w:val="0"/>
        </w:numPr>
        <w:kinsoku w:val="0"/>
        <w:autoSpaceDE w:val="0"/>
        <w:autoSpaceDN w:val="0"/>
        <w:adjustRightInd w:val="0"/>
        <w:snapToGrid w:val="0"/>
        <w:spacing w:line="240" w:lineRule="auto"/>
        <w:jc w:val="left"/>
        <w:textAlignment w:val="baseline"/>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四、采购清单及控制价</w:t>
      </w:r>
    </w:p>
    <w:tbl>
      <w:tblPr>
        <w:tblStyle w:val="17"/>
        <w:tblpPr w:leftFromText="180" w:rightFromText="180" w:vertAnchor="text" w:horzAnchor="page" w:tblpX="604" w:tblpY="2100"/>
        <w:tblOverlap w:val="never"/>
        <w:tblW w:w="114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3"/>
        <w:gridCol w:w="833"/>
        <w:gridCol w:w="6267"/>
        <w:gridCol w:w="617"/>
        <w:gridCol w:w="666"/>
        <w:gridCol w:w="767"/>
        <w:gridCol w:w="717"/>
        <w:gridCol w:w="916"/>
      </w:tblGrid>
      <w:tr w14:paraId="6421E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1436" w:type="dxa"/>
            <w:gridSpan w:val="8"/>
            <w:tcBorders>
              <w:top w:val="nil"/>
              <w:left w:val="nil"/>
              <w:bottom w:val="nil"/>
              <w:right w:val="nil"/>
            </w:tcBorders>
            <w:shd w:val="clear" w:color="auto" w:fill="auto"/>
            <w:vAlign w:val="center"/>
          </w:tcPr>
          <w:p w14:paraId="7E5AA03C">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highlight w:val="none"/>
                <w:u w:val="none"/>
              </w:rPr>
            </w:pPr>
            <w:r>
              <w:rPr>
                <w:rFonts w:hint="eastAsia" w:ascii="微软雅黑" w:hAnsi="微软雅黑" w:eastAsia="微软雅黑" w:cs="微软雅黑"/>
                <w:b/>
                <w:bCs/>
                <w:i w:val="0"/>
                <w:iCs w:val="0"/>
                <w:snapToGrid w:val="0"/>
                <w:color w:val="000000"/>
                <w:kern w:val="0"/>
                <w:sz w:val="32"/>
                <w:szCs w:val="32"/>
                <w:highlight w:val="none"/>
                <w:u w:val="none"/>
                <w:lang w:val="en-US" w:eastAsia="zh-CN" w:bidi="ar"/>
              </w:rPr>
              <w:t>管家楼水厂电子围栏</w:t>
            </w:r>
          </w:p>
        </w:tc>
      </w:tr>
      <w:tr w14:paraId="4AE20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719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序号</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7AF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商品名称</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391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技术规格</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A7D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单位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6D4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数量</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A09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控制单价(元)</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7FB4">
            <w:pPr>
              <w:keepNext w:val="0"/>
              <w:keepLines w:val="0"/>
              <w:widowControl/>
              <w:suppressLineNumbers w:val="0"/>
              <w:jc w:val="center"/>
              <w:textAlignment w:val="cente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合价</w:t>
            </w:r>
          </w:p>
          <w:p w14:paraId="67D48F9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(元)</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46E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备注</w:t>
            </w:r>
          </w:p>
        </w:tc>
      </w:tr>
      <w:tr w14:paraId="2708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2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29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BDA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网络版四线双防脉冲主机</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1C7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4.3英寸的液晶显示操作屏，可显示每个防区的工作电压，带有4个功能按键可进行布防、撤防、电压调节等操作；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支持防区电压无级调控（最小颗粒度0.1Kv），电压值调控范围(0.9Kv-6.5Kv)；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支持防区报警图标显示,可实时监控每个防区情况,一旦报警被触发图标立即闪烁并报警提示；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内接式螺丝接线端子台，让高压与脉冲连接更可靠、稳定，安全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同时支持继电器干接点、RS485接口、RJ45（TCP/IP）三种通信接口，实现跟中心报警主机的通信；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内置十进制拨码模块，地址支持0~99，当采用RS485通信方式时，相较传统二进制拨码更加的准确、高效；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支持一路第三防区扩展，该功能可以支持脉冲主机外接一路探测器，在综合技防场景中可以节省施工成本，提高布线效率；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支持输出一路DC12V 1A供电，给就近其他探测器提供供电，节省综合施工成本；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支持防区报警（短路、断路、触网）、防拆报警、系统故障报警等多种报警方式；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内置两路独立高压电路，实现真正意义上的双防区，控制中心对该脉冲主机的回控可以精确到单个防区实现分别独立控制；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软件功能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防区：2个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配置方式：本地配置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异常状态监测：支持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硬件接口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电池接口：支持1路DC12V 1A蓄电池接入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报警输出：4路开关量输出（2路为防区报警输出，1路为外部开关量报警输出，1路主机掉电报警输出）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网络接口：1个RJ45接口 （10/100M）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报警输入：支持1组报警输入NO/NC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数字按键：支持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电气性能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功耗：30W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电源：脉冲主机：DC15V±10%，2A，30W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适配器：输入 AC100~240V，1.5A Max，50/60Hz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输出 DC15V，4A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有线连接：支持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显示屏：4.3寸液晶显示屏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常规参数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外壳材质：ABS工程塑料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重量：2.79kg ±0.05kg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工作温度：﹣30°C -- +55°C，±10%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工作湿度：10％ - 90％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尺寸(宽x高x深)：380mm高×255mm宽×110mm深</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E47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92A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C2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2614</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8B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13070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AB66">
            <w:pPr>
              <w:jc w:val="left"/>
              <w:rPr>
                <w:rFonts w:hint="eastAsia" w:ascii="微软雅黑" w:hAnsi="微软雅黑" w:eastAsia="微软雅黑" w:cs="微软雅黑"/>
                <w:i w:val="0"/>
                <w:iCs w:val="0"/>
                <w:color w:val="000000"/>
                <w:sz w:val="16"/>
                <w:szCs w:val="16"/>
                <w:highlight w:val="none"/>
                <w:u w:val="none"/>
              </w:rPr>
            </w:pPr>
          </w:p>
        </w:tc>
      </w:tr>
      <w:tr w14:paraId="685C9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23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A1C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网络版四线单防脉冲主机</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459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4.3英寸的液晶显示操作屏，可显示每个防区的工作电压，带有4个功能按键可进行布防、撤防、电压调节等操作；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支持防区电压无级调控（最小颗粒度0.1Kv），电压值调控范围(0.9Kv-6.5Kv)；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支持防区报警图标显示,可实时监控每个防区情况,一旦报警被触发图标立即闪烁并报警提示；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内接式螺丝接线端子台，让高压与脉冲连接更可靠、稳定，安全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同时支持继电器干接点、RS485接口、RJ45（TCP/IP）三种通信接口，实现跟中心报警主机的通信；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内置十进制拨码模块，地址支持0~99，当采用RS485通信方式时，相较传统二进制拨码更加的准确、高效；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支持一路第三防区扩展，该功能可以支持脉冲主机外接一路探测器，在综合技防场景中可以节省施工成本，提高布线效率；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支持输出一路DC12V 1A供电，给就近其他探测器提供供电，节省综合施工成本；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支持防区报警（短路、断路、触网）、防拆报警、系统故障报警等多种报警方式；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软件功能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防区：1个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配置方式：本地配置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异常状态监测：支持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硬件接口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电池接口：支持1路DC12V 1A蓄电池接入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报警输出：3路开关量输出（1路为防区报警输出，1路为外部开关量报警输出，1路主机掉电报警输出）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网络接口：1个RJ45接口 （10/100M）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报警输入：支持1组报警输入NO/NC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数字按键：支持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电气性能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功耗：30W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电源：脉冲主机：DC15V±10%，2A，30W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适配器：输入 AC100~240V，1.5A Max，50/60Hz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输出 DC15V，4A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有线连接：支持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显示屏：液晶显示屏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常规参数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外壳材质：ABS工程塑料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重量：2.2kg ±0.05kg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工作温度：﹣30°C -- +55°C，±10%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工作湿度：10％ - 90％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尺寸(宽x高x深)：380mm高×255mm宽×110mm深</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26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EF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746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2185</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CB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2185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BA15">
            <w:pPr>
              <w:jc w:val="left"/>
              <w:rPr>
                <w:rFonts w:hint="eastAsia" w:ascii="微软雅黑" w:hAnsi="微软雅黑" w:eastAsia="微软雅黑" w:cs="微软雅黑"/>
                <w:i w:val="0"/>
                <w:iCs w:val="0"/>
                <w:color w:val="000000"/>
                <w:sz w:val="16"/>
                <w:szCs w:val="16"/>
                <w:highlight w:val="none"/>
                <w:u w:val="none"/>
              </w:rPr>
            </w:pPr>
          </w:p>
        </w:tc>
      </w:tr>
      <w:tr w14:paraId="0603B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7"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DD7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825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周界报警室外工控箱</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EDA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设备材质：冷轧钢板、镀锌喷塑 ，壁厚 1.0mm±0.15mm；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尺寸（高宽深）：含帽沿（高*宽*深）：600mm*400mm*200mm；不含帽沿（高*宽*深）：600mm*400mm*180mm；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工控配置：2P 16A空开 1个；2P 20kA 防浪涌(防雷)模块 1个；5孔导轨式插座 3个；高压接线端子 2个；接地铜排 1个；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基础配置：十字铜芯一字锁，内置两条工业导轨（280mm/80mm）,一块多孔工业挂板（360mm*160mm），一条接地铜排；</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防水等级：IP65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支持壁挂、抱箍、落地等三种安装方式；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空气开关：额定电压(V) ：230/400 AC 额定电流(A)：16A 额定频率(Hz)：50/60HZ 数量：1个 （2P）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防浪涌/雷击保护器：额定电压：230V（相电压） 最大放电电流：20KA 响应时间：＜ 25ns 数量：1个（2P）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导轨式插座：额定电压：250V 额定电流：10A 数量：3个（5孔）</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高压接线模块：进线范围/10-35平方；出线范围/2.5-16平方； 适用电流/100A ；导件材质/黄铜镀锡； 端口数量/1进2出； 数量：2个</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7D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1B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46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1070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56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6420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5E30">
            <w:pPr>
              <w:jc w:val="left"/>
              <w:rPr>
                <w:rFonts w:hint="eastAsia" w:ascii="微软雅黑" w:hAnsi="微软雅黑" w:eastAsia="微软雅黑" w:cs="微软雅黑"/>
                <w:i w:val="0"/>
                <w:iCs w:val="0"/>
                <w:color w:val="000000"/>
                <w:sz w:val="16"/>
                <w:szCs w:val="16"/>
                <w:highlight w:val="none"/>
                <w:u w:val="none"/>
              </w:rPr>
            </w:pPr>
          </w:p>
        </w:tc>
      </w:tr>
      <w:tr w14:paraId="6CBE2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A8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E7E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避雷器（含支架）</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D5F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避雷器</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29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7F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81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181</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AD8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1991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7C76">
            <w:pPr>
              <w:jc w:val="left"/>
              <w:rPr>
                <w:rFonts w:hint="eastAsia" w:ascii="微软雅黑" w:hAnsi="微软雅黑" w:eastAsia="微软雅黑" w:cs="微软雅黑"/>
                <w:i w:val="0"/>
                <w:iCs w:val="0"/>
                <w:color w:val="000000"/>
                <w:sz w:val="16"/>
                <w:szCs w:val="16"/>
                <w:highlight w:val="none"/>
                <w:u w:val="none"/>
              </w:rPr>
            </w:pPr>
          </w:p>
        </w:tc>
      </w:tr>
      <w:tr w14:paraId="49644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57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DB3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室外声光报警器（含支架，电源）</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CE9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电子围栏专用， 请不要用于其他系统。</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声光报警器（带转动）/声压≥108分贝/电流≤250毫安/（含电源和支架）</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2F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F1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3F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138.5</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06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1523.5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9BA4">
            <w:pPr>
              <w:jc w:val="left"/>
              <w:rPr>
                <w:rFonts w:hint="eastAsia" w:ascii="微软雅黑" w:hAnsi="微软雅黑" w:eastAsia="微软雅黑" w:cs="微软雅黑"/>
                <w:i w:val="0"/>
                <w:iCs w:val="0"/>
                <w:color w:val="000000"/>
                <w:sz w:val="16"/>
                <w:szCs w:val="16"/>
                <w:highlight w:val="none"/>
                <w:u w:val="none"/>
              </w:rPr>
            </w:pPr>
          </w:p>
        </w:tc>
      </w:tr>
      <w:tr w14:paraId="69C14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52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F7A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四/六线通用中间杆850</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20E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4/6线通用中间杆； 材质：软性玻璃纤维；6线，口径10mm，杆长850mm</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EE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81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06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9.2</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A1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1619.2</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9C02">
            <w:pPr>
              <w:jc w:val="left"/>
              <w:rPr>
                <w:rFonts w:hint="eastAsia" w:ascii="微软雅黑" w:hAnsi="微软雅黑" w:eastAsia="微软雅黑" w:cs="微软雅黑"/>
                <w:i w:val="0"/>
                <w:iCs w:val="0"/>
                <w:color w:val="000000"/>
                <w:sz w:val="16"/>
                <w:szCs w:val="16"/>
                <w:highlight w:val="none"/>
                <w:u w:val="none"/>
              </w:rPr>
            </w:pPr>
          </w:p>
        </w:tc>
      </w:tr>
      <w:tr w14:paraId="31339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E61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AF4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四线中间杆附件包850</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B65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4线中间杆附件包；  含中间杆帽子（口径10）1个、中间杆绝缘子4个、中间杆底座（热镀锌）1个</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F2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EE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02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20.3</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E5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3572.8</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EB21">
            <w:pPr>
              <w:jc w:val="left"/>
              <w:rPr>
                <w:rFonts w:hint="eastAsia" w:ascii="微软雅黑" w:hAnsi="微软雅黑" w:eastAsia="微软雅黑" w:cs="微软雅黑"/>
                <w:i w:val="0"/>
                <w:iCs w:val="0"/>
                <w:color w:val="000000"/>
                <w:sz w:val="16"/>
                <w:szCs w:val="16"/>
                <w:highlight w:val="none"/>
                <w:u w:val="none"/>
              </w:rPr>
            </w:pPr>
          </w:p>
        </w:tc>
      </w:tr>
      <w:tr w14:paraId="7749A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B6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82A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四线承力杆附件包850</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532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4线承力杆经济型杆附件包；  含4个终端杆绝缘子（套管型）；1个终端杆帽子（32口径）；1个承力杆底座（热镀锌）</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FCE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C1A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91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95E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506</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B838">
            <w:pPr>
              <w:jc w:val="left"/>
              <w:rPr>
                <w:rFonts w:hint="eastAsia" w:ascii="微软雅黑" w:hAnsi="微软雅黑" w:eastAsia="微软雅黑" w:cs="微软雅黑"/>
                <w:i w:val="0"/>
                <w:iCs w:val="0"/>
                <w:color w:val="000000"/>
                <w:sz w:val="16"/>
                <w:szCs w:val="16"/>
                <w:highlight w:val="none"/>
                <w:u w:val="none"/>
              </w:rPr>
            </w:pPr>
          </w:p>
        </w:tc>
      </w:tr>
      <w:tr w14:paraId="27D5A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DD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5D3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四线终端杆附件包850</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54A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4线终端杆经济型附件包；含终端杆绝缘子（套管型）4只；终端杆帽子（32口径）1个；终端杆底座（热镀锌）1套；收紧器4个；线线连接器8个</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10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69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49</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B6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69.2</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5A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3390.8</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8FCF">
            <w:pPr>
              <w:jc w:val="left"/>
              <w:rPr>
                <w:rFonts w:hint="eastAsia" w:ascii="微软雅黑" w:hAnsi="微软雅黑" w:eastAsia="微软雅黑" w:cs="微软雅黑"/>
                <w:i w:val="0"/>
                <w:iCs w:val="0"/>
                <w:color w:val="000000"/>
                <w:sz w:val="16"/>
                <w:szCs w:val="16"/>
                <w:highlight w:val="none"/>
                <w:u w:val="none"/>
              </w:rPr>
            </w:pPr>
          </w:p>
        </w:tc>
      </w:tr>
      <w:tr w14:paraId="54E9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DC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244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四线承力/终端通用杆850</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113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4线经济型通用杆850；  经济型通用终端、承力杆；  4线终端杆，直径32mm,2.0mm 厚，高度：850mm；材质：铝合金管；表面处理：表面氧化；表面颜色：本色</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A0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20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E0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46.1</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B0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3273.1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9AA3">
            <w:pPr>
              <w:jc w:val="left"/>
              <w:rPr>
                <w:rFonts w:hint="eastAsia" w:ascii="微软雅黑" w:hAnsi="微软雅黑" w:eastAsia="微软雅黑" w:cs="微软雅黑"/>
                <w:i w:val="0"/>
                <w:iCs w:val="0"/>
                <w:color w:val="000000"/>
                <w:sz w:val="16"/>
                <w:szCs w:val="16"/>
                <w:highlight w:val="none"/>
                <w:u w:val="none"/>
              </w:rPr>
            </w:pPr>
          </w:p>
        </w:tc>
      </w:tr>
      <w:tr w14:paraId="5FE73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7D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602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20#合金线400米/盘</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9D7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20#合金线，优良导电率，抗氧化、耐腐蚀,去火功能，多股，每100米2欧姆阻值，400m一盘</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4C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66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0CB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443</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5F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4873</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0BAB">
            <w:pPr>
              <w:jc w:val="left"/>
              <w:rPr>
                <w:rFonts w:hint="eastAsia" w:ascii="微软雅黑" w:hAnsi="微软雅黑" w:eastAsia="微软雅黑" w:cs="微软雅黑"/>
                <w:i w:val="0"/>
                <w:iCs w:val="0"/>
                <w:color w:val="000000"/>
                <w:sz w:val="16"/>
                <w:szCs w:val="16"/>
                <w:highlight w:val="none"/>
                <w:u w:val="none"/>
              </w:rPr>
            </w:pPr>
          </w:p>
        </w:tc>
      </w:tr>
      <w:tr w14:paraId="1EA8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C45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5BA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20#合金线100米/盘</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442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20#合金线，优良导电率，抗氧化、耐腐蚀,去火功能，多股，每100米2欧姆阻值，100m一盘。</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F8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90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9A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106</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23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106</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385C">
            <w:pPr>
              <w:jc w:val="left"/>
              <w:rPr>
                <w:rFonts w:hint="eastAsia" w:ascii="微软雅黑" w:hAnsi="微软雅黑" w:eastAsia="微软雅黑" w:cs="微软雅黑"/>
                <w:i w:val="0"/>
                <w:iCs w:val="0"/>
                <w:color w:val="000000"/>
                <w:sz w:val="16"/>
                <w:szCs w:val="16"/>
                <w:highlight w:val="none"/>
                <w:u w:val="none"/>
              </w:rPr>
            </w:pPr>
          </w:p>
        </w:tc>
      </w:tr>
      <w:tr w14:paraId="572AD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39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448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高压绝缘导线100m/盘</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B44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高压绝缘导线；合金线为内芯/高压绝缘层抗脉冲电压&gt;20KV/考虑现场可能有出入口、或围墙不连续处，100米/盘</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F13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77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26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387</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5E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2322</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B4B9">
            <w:pPr>
              <w:jc w:val="left"/>
              <w:rPr>
                <w:rFonts w:hint="eastAsia" w:ascii="微软雅黑" w:hAnsi="微软雅黑" w:eastAsia="微软雅黑" w:cs="微软雅黑"/>
                <w:i w:val="0"/>
                <w:iCs w:val="0"/>
                <w:color w:val="000000"/>
                <w:sz w:val="16"/>
                <w:szCs w:val="16"/>
                <w:highlight w:val="none"/>
                <w:u w:val="none"/>
              </w:rPr>
            </w:pPr>
          </w:p>
        </w:tc>
      </w:tr>
      <w:tr w14:paraId="53D2E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AD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F6A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脉冲围栏警示牌</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8C9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警示牌；尺寸：100*200MM/采用稀土发光材料制造/在阴雨天气同样可吸光/双面印刷/夜光显示/每10米挂一块</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8C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块</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A2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0C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9.2</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3B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1012</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899D">
            <w:pPr>
              <w:jc w:val="left"/>
              <w:rPr>
                <w:rFonts w:hint="eastAsia" w:ascii="微软雅黑" w:hAnsi="微软雅黑" w:eastAsia="微软雅黑" w:cs="微软雅黑"/>
                <w:i w:val="0"/>
                <w:iCs w:val="0"/>
                <w:color w:val="000000"/>
                <w:sz w:val="16"/>
                <w:szCs w:val="16"/>
                <w:highlight w:val="none"/>
                <w:u w:val="none"/>
              </w:rPr>
            </w:pPr>
          </w:p>
        </w:tc>
      </w:tr>
      <w:tr w14:paraId="6ADD6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A0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614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接地桩</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3CE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电子围栏接地桩；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可用于将电子围栏主机和避雷器的接地；角钢，厚度2mm，长1.5米</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E8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11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81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101</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94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1717</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10C5">
            <w:pPr>
              <w:jc w:val="left"/>
              <w:rPr>
                <w:rFonts w:hint="eastAsia" w:ascii="微软雅黑" w:hAnsi="微软雅黑" w:eastAsia="微软雅黑" w:cs="微软雅黑"/>
                <w:i w:val="0"/>
                <w:iCs w:val="0"/>
                <w:color w:val="000000"/>
                <w:sz w:val="16"/>
                <w:szCs w:val="16"/>
                <w:highlight w:val="none"/>
                <w:u w:val="none"/>
              </w:rPr>
            </w:pPr>
          </w:p>
        </w:tc>
      </w:tr>
      <w:tr w14:paraId="7D84A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889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903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5米10mm²接地线</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434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用于连接避雷器和接地桩，长为5米，10mm²的铜导线，每根接地桩配置一根</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41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32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20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231</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12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3927</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2F8B">
            <w:pPr>
              <w:jc w:val="left"/>
              <w:rPr>
                <w:rFonts w:hint="eastAsia" w:ascii="微软雅黑" w:hAnsi="微软雅黑" w:eastAsia="微软雅黑" w:cs="微软雅黑"/>
                <w:i w:val="0"/>
                <w:iCs w:val="0"/>
                <w:color w:val="000000"/>
                <w:sz w:val="16"/>
                <w:szCs w:val="16"/>
                <w:highlight w:val="none"/>
                <w:u w:val="none"/>
              </w:rPr>
            </w:pPr>
          </w:p>
        </w:tc>
      </w:tr>
      <w:tr w14:paraId="1FCD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B3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08F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扩展模块</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64D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【技术参数】</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1、设备类型：声光警号（声光报警器）</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2、警灯颜色：红色</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3、报警音量：105dB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4、硬件接口：红/黑线</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5、使用环境：室内/外（IP54室外防水）</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6、外壳材质：PC+ABS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7、安装方式：壁挂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8、工作电源：DC12V/220mA（宽压8-16V DC）</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9、工作温度：-20 °C 至 60 °C</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10、工作湿度：10% 至 90%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11、产品尺寸：140*134*33mm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【产品功能】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1、声光报警：提供警灯闪烁和报警音频输出，用于提示警情处置</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2、模式切换：支持关闭报警音频输出，仅提供警灯闪烁模式输出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3、内置水平仪：可通过内置水平仪调节安装角度，方便调试安装</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F8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66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CC1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4BC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25E9">
            <w:pPr>
              <w:jc w:val="left"/>
              <w:rPr>
                <w:rFonts w:hint="eastAsia" w:ascii="微软雅黑" w:hAnsi="微软雅黑" w:eastAsia="微软雅黑" w:cs="微软雅黑"/>
                <w:i w:val="0"/>
                <w:iCs w:val="0"/>
                <w:color w:val="000000"/>
                <w:sz w:val="16"/>
                <w:szCs w:val="16"/>
                <w:highlight w:val="none"/>
                <w:u w:val="none"/>
              </w:rPr>
            </w:pPr>
          </w:p>
        </w:tc>
      </w:tr>
      <w:tr w14:paraId="5B0E4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07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FF4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混合报警主机</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D84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1、操作系统：嵌入式Linux操作系统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2、防区数量：支持通过网络和RS485方式接入电子围栏、张力围栏（其中RS485扩展上限为64路，网络扩展上限为256路）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3、继电器数量：板载4路（距离50m以内），可通过继电器模块扩展至64路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4、日志容量：5000条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5、传输距离：网络传输无限制（局域网可达），RS485传输800米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6、硬件接口：RS485*1、RJ45*1，PSTN接口*1，4G模块接口*1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7、安装方式：壁挂安装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8、供电方式：AC220V（自带电源适配器）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9、设备功耗：裸机功耗≤5W，满载功耗≤25W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10、工作温度：–10℃～+55℃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11、工作湿度：10％--90％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12、使用环境：室内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13、产品尺寸：351.4*261.4*92.3mm（长*宽*厚）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【功能特性】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1、防区报警：支持探测器/紧急报警装置触发信号接收，进行入侵/紧急报警事件管理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2、断电报警：当市电断电时，设备可通过蓄电池正常工作8小时以上（需选配蓄电池），并将断电事件进行通知上报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3、外接键盘：支持9个报警键盘接入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4、报警管理：支持报警键盘、WEB、客户端软件、中心平台进行报警管理操作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5、报警指示：支持报警键盘、警号、继电器联动、中心平台上报等报警事件指示功能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6、联动控制：支持报警事件联动，平台控制继电器输出，实现场景化联动输出，实现个性化管理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8、事件上传：支持断网续传功能，设备离线状态下产生事件在与平台连接后会重新上传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9、子系统管理：支持32个子系统，实现对防区进行分区管理，支持外出布防、在家布防、撤防、消警、旁路等功能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10、防区设置：支持即时防区、延时防区、紧急防区、超时防区等场景化防区类型设置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11、配置管理：支持配置文件导出和导入功能，实现参数备份和快速移机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12、视频联动：支持关联4路视频，报警时自动截取7S事前和事后视频，推送至APP和发送邮件</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E9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BC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49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1338</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76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1338</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F1C5">
            <w:pPr>
              <w:jc w:val="left"/>
              <w:rPr>
                <w:rFonts w:hint="eastAsia" w:ascii="微软雅黑" w:hAnsi="微软雅黑" w:eastAsia="微软雅黑" w:cs="微软雅黑"/>
                <w:i w:val="0"/>
                <w:iCs w:val="0"/>
                <w:color w:val="000000"/>
                <w:sz w:val="16"/>
                <w:szCs w:val="16"/>
                <w:highlight w:val="none"/>
                <w:u w:val="none"/>
              </w:rPr>
            </w:pPr>
          </w:p>
        </w:tc>
      </w:tr>
      <w:tr w14:paraId="398C0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1F3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3B5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键盘及其他</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B8C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1、设备类型：混合报警主机专用控制键盘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2、通讯协议：RS485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3、传输距离：800m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4、使用环境：室内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5、显示屏：LCD（尺寸80X25mm）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6、操作按键：20个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7、指示灯：5个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8、蜂鸣器：支持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10、工作电源：DC12V/150mA（宽压9-16V DC）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11、工作温度：-10 °C 至 55 °C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12、工作湿度：10% 至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13、产品尺寸：150mm(长)*115mm(宽)*27mm(高)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【产品功能】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1、操作指令接收：支持对报警系统进行布防、撤防、消警、旁路、旁路恢复、紧急求助等操作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2、操作方式管理：支持密码、遥控器、刷卡方式对报警系统进行操作指令交互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3、报警状态指示：支持对报警系统防区报警状态进行实时指示，包括指示灯变化，提示音变化，文字内容变化等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4、系统状态展示：支持对报警系统运行状态进行展示，包括主电源状态、蓄电池状态、防拆状态、子系统布撤防状态，防区状态、扩展模块状态等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5、胁迫码功能：支持通过胁迫密码进行布撤防管理，并将警情进行中心上报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6、防区名称自定义：支持防区名称自定义配置，在键盘屏幕中展示对应文字内容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7、配置管理：支持通过键盘对报警主机进行参数配置，包括密码修改、防区类型配置、上报中心参数配置等</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EE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8B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A3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415</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26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415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EA09">
            <w:pPr>
              <w:jc w:val="left"/>
              <w:rPr>
                <w:rFonts w:hint="eastAsia" w:ascii="微软雅黑" w:hAnsi="微软雅黑" w:eastAsia="微软雅黑" w:cs="微软雅黑"/>
                <w:i w:val="0"/>
                <w:iCs w:val="0"/>
                <w:color w:val="000000"/>
                <w:sz w:val="16"/>
                <w:szCs w:val="16"/>
                <w:highlight w:val="none"/>
                <w:u w:val="none"/>
              </w:rPr>
            </w:pPr>
          </w:p>
        </w:tc>
      </w:tr>
      <w:tr w14:paraId="2878E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DA9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D46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PVC阻燃穿线管</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6E2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PVC穿线管</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EF1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18C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1450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D0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2.7</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B5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3915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5DCD">
            <w:pPr>
              <w:jc w:val="left"/>
              <w:rPr>
                <w:rFonts w:hint="eastAsia" w:ascii="微软雅黑" w:hAnsi="微软雅黑" w:eastAsia="微软雅黑" w:cs="微软雅黑"/>
                <w:i w:val="0"/>
                <w:iCs w:val="0"/>
                <w:color w:val="000000"/>
                <w:sz w:val="16"/>
                <w:szCs w:val="16"/>
                <w:highlight w:val="none"/>
                <w:u w:val="none"/>
              </w:rPr>
            </w:pPr>
          </w:p>
        </w:tc>
      </w:tr>
      <w:tr w14:paraId="378A0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C7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564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室外铠装光纤</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84C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8芯室外铠装单模光纤</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14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51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1A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13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3300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A549">
            <w:pPr>
              <w:jc w:val="left"/>
              <w:rPr>
                <w:rFonts w:hint="eastAsia" w:ascii="微软雅黑" w:hAnsi="微软雅黑" w:eastAsia="微软雅黑" w:cs="微软雅黑"/>
                <w:i w:val="0"/>
                <w:iCs w:val="0"/>
                <w:color w:val="000000"/>
                <w:sz w:val="16"/>
                <w:szCs w:val="16"/>
                <w:highlight w:val="none"/>
                <w:u w:val="none"/>
              </w:rPr>
            </w:pPr>
          </w:p>
        </w:tc>
      </w:tr>
      <w:tr w14:paraId="2B7ED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CF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E01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室外光纤盒</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865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4芯光纤盒</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73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112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33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38</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38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342</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EBD6">
            <w:pPr>
              <w:jc w:val="left"/>
              <w:rPr>
                <w:rFonts w:hint="eastAsia" w:ascii="微软雅黑" w:hAnsi="微软雅黑" w:eastAsia="微软雅黑" w:cs="微软雅黑"/>
                <w:i w:val="0"/>
                <w:iCs w:val="0"/>
                <w:color w:val="000000"/>
                <w:sz w:val="16"/>
                <w:szCs w:val="16"/>
                <w:highlight w:val="none"/>
                <w:u w:val="none"/>
              </w:rPr>
            </w:pPr>
          </w:p>
        </w:tc>
      </w:tr>
      <w:tr w14:paraId="27C7C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7B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1C1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机架式光纤盒</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FB2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24芯机架式光纤盒</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BE7D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8D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50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246</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99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246</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3C7C">
            <w:pPr>
              <w:jc w:val="left"/>
              <w:rPr>
                <w:rFonts w:hint="eastAsia" w:ascii="微软雅黑" w:hAnsi="微软雅黑" w:eastAsia="微软雅黑" w:cs="微软雅黑"/>
                <w:i w:val="0"/>
                <w:iCs w:val="0"/>
                <w:color w:val="000000"/>
                <w:sz w:val="16"/>
                <w:szCs w:val="16"/>
                <w:highlight w:val="none"/>
                <w:u w:val="none"/>
              </w:rPr>
            </w:pPr>
          </w:p>
        </w:tc>
      </w:tr>
      <w:tr w14:paraId="02C46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78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30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光纤跳线</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1E4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SC 接口单模光纤 3米</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44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条</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C5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C6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7.6</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27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456</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A47D">
            <w:pPr>
              <w:jc w:val="left"/>
              <w:rPr>
                <w:rFonts w:hint="eastAsia" w:ascii="微软雅黑" w:hAnsi="微软雅黑" w:eastAsia="微软雅黑" w:cs="微软雅黑"/>
                <w:i w:val="0"/>
                <w:iCs w:val="0"/>
                <w:color w:val="000000"/>
                <w:sz w:val="16"/>
                <w:szCs w:val="16"/>
                <w:highlight w:val="none"/>
                <w:u w:val="none"/>
              </w:rPr>
            </w:pPr>
          </w:p>
        </w:tc>
      </w:tr>
      <w:tr w14:paraId="18A49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5D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EF2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耦合器</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76EE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SC</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923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94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FB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A4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96</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85A1">
            <w:pPr>
              <w:jc w:val="left"/>
              <w:rPr>
                <w:rFonts w:hint="eastAsia" w:ascii="微软雅黑" w:hAnsi="微软雅黑" w:eastAsia="微软雅黑" w:cs="微软雅黑"/>
                <w:i w:val="0"/>
                <w:iCs w:val="0"/>
                <w:color w:val="000000"/>
                <w:sz w:val="16"/>
                <w:szCs w:val="16"/>
                <w:highlight w:val="none"/>
                <w:u w:val="none"/>
              </w:rPr>
            </w:pPr>
          </w:p>
        </w:tc>
      </w:tr>
      <w:tr w14:paraId="05B99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2A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BBF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光纤熔接</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769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光纤熔接及测试</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C3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5A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42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764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480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DAEC">
            <w:pPr>
              <w:jc w:val="left"/>
              <w:rPr>
                <w:rFonts w:hint="eastAsia" w:ascii="微软雅黑" w:hAnsi="微软雅黑" w:eastAsia="微软雅黑" w:cs="微软雅黑"/>
                <w:i w:val="0"/>
                <w:iCs w:val="0"/>
                <w:color w:val="000000"/>
                <w:sz w:val="16"/>
                <w:szCs w:val="16"/>
                <w:highlight w:val="none"/>
                <w:u w:val="none"/>
              </w:rPr>
            </w:pPr>
          </w:p>
        </w:tc>
      </w:tr>
      <w:tr w14:paraId="4501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23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27</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DA9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电源线</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F27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国标RVV 2*2.5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AF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DA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1600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B0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8.1</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590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12960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445A">
            <w:pPr>
              <w:jc w:val="left"/>
              <w:rPr>
                <w:rFonts w:hint="eastAsia" w:ascii="微软雅黑" w:hAnsi="微软雅黑" w:eastAsia="微软雅黑" w:cs="微软雅黑"/>
                <w:i w:val="0"/>
                <w:iCs w:val="0"/>
                <w:color w:val="000000"/>
                <w:sz w:val="16"/>
                <w:szCs w:val="16"/>
                <w:highlight w:val="none"/>
                <w:u w:val="none"/>
              </w:rPr>
            </w:pPr>
          </w:p>
        </w:tc>
      </w:tr>
      <w:tr w14:paraId="72E75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2D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59C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KBG穿线管</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910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Ø25镀锌穿线管；直通；</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97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63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CB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6.9</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A3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1380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41C4">
            <w:pPr>
              <w:jc w:val="left"/>
              <w:rPr>
                <w:rFonts w:hint="eastAsia" w:ascii="微软雅黑" w:hAnsi="微软雅黑" w:eastAsia="微软雅黑" w:cs="微软雅黑"/>
                <w:i w:val="0"/>
                <w:iCs w:val="0"/>
                <w:color w:val="000000"/>
                <w:sz w:val="16"/>
                <w:szCs w:val="16"/>
                <w:highlight w:val="none"/>
                <w:u w:val="none"/>
              </w:rPr>
            </w:pPr>
          </w:p>
        </w:tc>
      </w:tr>
      <w:tr w14:paraId="3EAA6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A3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0AB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PP阻燃波纹管</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741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PP阻燃波纹管 耐酸碱，耐腐蚀，耐老化</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2CC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C0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27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184</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D6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920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B23E">
            <w:pPr>
              <w:jc w:val="left"/>
              <w:rPr>
                <w:rFonts w:hint="eastAsia" w:ascii="微软雅黑" w:hAnsi="微软雅黑" w:eastAsia="微软雅黑" w:cs="微软雅黑"/>
                <w:i w:val="0"/>
                <w:iCs w:val="0"/>
                <w:color w:val="000000"/>
                <w:sz w:val="16"/>
                <w:szCs w:val="16"/>
                <w:highlight w:val="none"/>
                <w:u w:val="none"/>
              </w:rPr>
            </w:pPr>
          </w:p>
        </w:tc>
      </w:tr>
      <w:tr w14:paraId="762B7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5B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0B1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核心交换机</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BE2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三层网管交换机，交换容量598Gbps/5.98Tbps，包转发率108Mpps/144Mpps；24个10/100/1000Mbps自适应电口，4个SFP千兆光口；支持静态路由、聚合口、ACL、端口镜像等功能，支持虚拟化堆叠（需使用万兆光模块），支持小贝APP和云平台统一管理</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FE7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B41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A6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2200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20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AA2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管家楼水厂已有核心交换机，但接口剩余数量不满足扩建要求， 增加一台接入交换机</w:t>
            </w:r>
          </w:p>
        </w:tc>
      </w:tr>
      <w:tr w14:paraId="70950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6"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827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9E1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90D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BD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B4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30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F3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CCB8">
            <w:pPr>
              <w:jc w:val="left"/>
              <w:rPr>
                <w:rFonts w:hint="eastAsia" w:ascii="微软雅黑" w:hAnsi="微软雅黑" w:eastAsia="微软雅黑" w:cs="微软雅黑"/>
                <w:i w:val="0"/>
                <w:iCs w:val="0"/>
                <w:color w:val="000000"/>
                <w:sz w:val="16"/>
                <w:szCs w:val="16"/>
                <w:highlight w:val="none"/>
                <w:u w:val="none"/>
              </w:rPr>
            </w:pPr>
          </w:p>
        </w:tc>
      </w:tr>
      <w:tr w14:paraId="1B20D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B4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DF0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光纤收发器机架</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37D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插槽数：16槽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电源输入：AC100～260V，50～60HZ</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直流输出：DC5V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纹波：≤50mv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噪音：≤50mv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电源保护：过压保护，过流保护，短路保护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工作温度：0～50℃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储存温度：-20℃～70℃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相对湿度：5%～95%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外型尺寸： 490*245*93mm（长×宽×高）</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0F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B2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D3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369</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CE1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369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90E6">
            <w:pPr>
              <w:jc w:val="left"/>
              <w:rPr>
                <w:rFonts w:hint="eastAsia" w:ascii="微软雅黑" w:hAnsi="微软雅黑" w:eastAsia="微软雅黑" w:cs="微软雅黑"/>
                <w:i w:val="0"/>
                <w:iCs w:val="0"/>
                <w:color w:val="000000"/>
                <w:sz w:val="16"/>
                <w:szCs w:val="16"/>
                <w:highlight w:val="none"/>
                <w:u w:val="none"/>
              </w:rPr>
            </w:pPr>
          </w:p>
        </w:tc>
      </w:tr>
      <w:tr w14:paraId="7BD36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D0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AD3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436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61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91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F9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6460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02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6460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12E2">
            <w:pPr>
              <w:jc w:val="center"/>
              <w:rPr>
                <w:rFonts w:hint="eastAsia" w:ascii="微软雅黑" w:hAnsi="微软雅黑" w:eastAsia="微软雅黑" w:cs="微软雅黑"/>
                <w:i w:val="0"/>
                <w:iCs w:val="0"/>
                <w:color w:val="000000"/>
                <w:sz w:val="16"/>
                <w:szCs w:val="16"/>
                <w:highlight w:val="none"/>
                <w:u w:val="none"/>
              </w:rPr>
            </w:pPr>
          </w:p>
        </w:tc>
      </w:tr>
      <w:tr w14:paraId="484A3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CC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3EA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461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797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2F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88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48800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5A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48800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C977">
            <w:pPr>
              <w:jc w:val="center"/>
              <w:rPr>
                <w:rFonts w:hint="eastAsia" w:ascii="微软雅黑" w:hAnsi="微软雅黑" w:eastAsia="微软雅黑" w:cs="微软雅黑"/>
                <w:i w:val="0"/>
                <w:iCs w:val="0"/>
                <w:color w:val="000000"/>
                <w:sz w:val="16"/>
                <w:szCs w:val="16"/>
                <w:highlight w:val="none"/>
                <w:u w:val="none"/>
              </w:rPr>
            </w:pPr>
          </w:p>
        </w:tc>
      </w:tr>
      <w:tr w14:paraId="004E6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CD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35</w:t>
            </w:r>
          </w:p>
        </w:tc>
        <w:tc>
          <w:tcPr>
            <w:tcW w:w="91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644B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小计</w:t>
            </w:r>
          </w:p>
        </w:tc>
        <w:tc>
          <w:tcPr>
            <w:tcW w:w="1633" w:type="dxa"/>
            <w:gridSpan w:val="2"/>
            <w:tcBorders>
              <w:top w:val="single" w:color="000000" w:sz="4" w:space="0"/>
              <w:left w:val="nil"/>
              <w:bottom w:val="single" w:color="000000" w:sz="4" w:space="0"/>
              <w:right w:val="single" w:color="000000" w:sz="4" w:space="0"/>
            </w:tcBorders>
            <w:shd w:val="clear" w:color="auto" w:fill="auto"/>
            <w:vAlign w:val="center"/>
          </w:tcPr>
          <w:p w14:paraId="54E6BA48">
            <w:pPr>
              <w:jc w:val="left"/>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136455.4</w:t>
            </w:r>
          </w:p>
        </w:tc>
      </w:tr>
      <w:tr w14:paraId="3A92A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nil"/>
              <w:right w:val="single" w:color="000000" w:sz="4" w:space="0"/>
            </w:tcBorders>
            <w:shd w:val="clear" w:color="auto" w:fill="auto"/>
            <w:vAlign w:val="center"/>
          </w:tcPr>
          <w:p w14:paraId="78A2452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二、</w:t>
            </w:r>
          </w:p>
        </w:tc>
        <w:tc>
          <w:tcPr>
            <w:tcW w:w="98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088355">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周界摄像头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FD0B">
            <w:pPr>
              <w:jc w:val="left"/>
              <w:rPr>
                <w:rFonts w:hint="eastAsia" w:ascii="微软雅黑" w:hAnsi="微软雅黑" w:eastAsia="微软雅黑" w:cs="微软雅黑"/>
                <w:i w:val="0"/>
                <w:iCs w:val="0"/>
                <w:color w:val="000000"/>
                <w:sz w:val="16"/>
                <w:szCs w:val="16"/>
                <w:highlight w:val="none"/>
                <w:u w:val="none"/>
              </w:rPr>
            </w:pPr>
          </w:p>
        </w:tc>
      </w:tr>
      <w:tr w14:paraId="1DABB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39" w:hRule="atLeast"/>
        </w:trPr>
        <w:tc>
          <w:tcPr>
            <w:tcW w:w="653" w:type="dxa"/>
            <w:tcBorders>
              <w:top w:val="single" w:color="000000" w:sz="4" w:space="0"/>
              <w:left w:val="single" w:color="000000" w:sz="4" w:space="0"/>
              <w:bottom w:val="nil"/>
              <w:right w:val="single" w:color="000000" w:sz="4" w:space="0"/>
            </w:tcBorders>
            <w:shd w:val="clear" w:color="auto" w:fill="auto"/>
            <w:vAlign w:val="center"/>
          </w:tcPr>
          <w:p w14:paraId="32FEDFD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6F7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周界网络摄像机</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F6C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7T轻智能筒型摄像机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F1.0超大光圈镜头，日夜臻全彩成像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采用深度学习算法，以海量图片及视频资源为路基，通过机器自身提取目标特征，形成深层可供学习的图像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支持智能资源模式切换：人脸抓拍（默认），smart事件，热度图，人数统计，道路监控，普通监控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鳞镜补光：采用隐藏式灯珠设计，通过鳞甲密布排列形成的镜面反射出光，见光不见灯；增加发光面积，降低聚光效果，补光柔和均匀</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Smart录像：支持断网续传功能保证录像不丢失，配合Smart NVR/SD卡实现事件录像的智能后检索、分析和浓缩播放，Smart编码：支持低码率、低延时、ROI感兴趣区域增强编码、SVC自适应编码技术，支持Smart265编码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系统功能：支持开放型网络视频接口、ISAPI、GB/T28181和OTAP；支持三码流技术，支持同时20路取流；支持萤石平台接入</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宽动态：支持宽动态范围达120 dB，适合逆光环境监控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图像相关：支持400万像素@60 fps实时帧率，图像更流畅；支持透雾，电子防抖，并具有多种白平衡模式，适合各种场景需求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安全服务：支持三级用户权限管理，支持授权的用户和密码，支持IP地址过滤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接口功能：内置MicroSD/MicroSDHC/MicroSDXC插槽，最大支持512 GB；支持10 M/100 M自适应网口；支持一对报警输入输出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人数统计模式：a)人员统计：支持实时报警，人数变化报警和拥堵等级变化报警，并支持人数异常和停留时间异常报警，b)异常行为检测：支持离岗检测，以及在离岗检测报警，c)区域关注度：支持区域人数检测、停留时长检测、实时数据上传，并支持区域人数分析和队列状态分析展示，d)热度图：支持设备上报和平台查询方式获取信息，并支持上报伪彩图背景大图</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道路监控模式：a)车辆检测：支持车牌识别并抓拍，车牌号码/车身颜色/车辆类型/车辆品牌，b)混行检测：检测正向或逆向行驶的车辆以及行人和非机动车，自动对车辆牌照进行识别，可以抓拍无车牌的车辆图片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事件模式：越界侦测，区域入侵侦测，进入/离开区域侦测，徘徊侦测，人员聚集侦测，快速运动侦测，停车侦测，物品遗留/拿取侦测，场景变更侦测，音频陡升/陡降侦测，音频有无侦测，虚焦侦测。其中越界侦测，区域入侵侦测，进入/离开区域侦测为深度学习算法，支持联动声光预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人脸抓拍模式：a)支持对运动人脸进行检测、抓拍、评分、筛选，输出优选的人脸，b)支持人脸去误报、快速抓拍人脸，c)支持快速抓拍和优选抓拍两种模式，d)最多同时检测30张人脸，e)支持人脸去重</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支持电量检测：支持设备功耗检测，支持设备功耗报表展示，报表类型支持日报表和周报表（默认日报表，单位瓦时（W·h））</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传感器类型：1/1.8" Progressive Scan CMOS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最低照度：彩色：0.0005 Lux @（F1.0，AGC ON），0 Lux with Light</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宽动态：120 dB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焦距&amp;视场角：2.8~4 mm：水平视场角：110.0°~70.7°，垂直视场角：59.3°~39.2°，对角视场角：130.6°~81.8°</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4~6 mm：水平视场角：92.9°~56.1°，垂直视场角：46.4°~30.2°，对角视场角：112.7°~65.8°</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6~9 mm：水平视场角：57.4°~36.3°，垂直视场角：30.4°~19.8°，对角视场角：67.4°~42.2°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补光灯类型：鳞镜补光，暖白光，4颗灯珠</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补光距离：白光：普通监控：最远可达30 m，人脸抓拍/识别：最远可达5 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防补光过曝：支持防补光过曝开启和关闭，开启下支持自动和手动，手动支持根据距离等级控制补光灯亮度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最大图像尺寸：2560 × 1440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视频压缩标准：H.265/H.264/MJPEG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网络：1个RJ45 10 M/100 M自适应以太网口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SD卡扩展：内置MicroSD/MicroSDHC/MicroSDXC 插槽，最大支持512GB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音频：1路输入（Line in），1路输出（Line out），2个内置麦克风，1个内置扬声器</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报警：1路输入，1路输出（报警输入支持开关量，报警输出最大支持DC12 V，30 mA）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复位：支持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电源输出：DC12 V，100 mA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接口类型：外甩线</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RS-485：1个RS-485接口，半双工模式，支持自适应HIKVISION，PELCO-P和PELCO-D协议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产品尺寸：180.3 × 99.2 × 94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包装尺寸：315 × 137 × 141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设备重量：750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带包装重量：1080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存储温湿度：-30 ℃~60 ℃，湿度小于95%（无凝结）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启动和工作温湿度：-30 ℃~60 ℃，湿度小于95%（无凝结）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电流及功耗：DC：12 V，1.5 A，最大功耗：18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PoE：802.3at，42.5 V~57 V，0.49 A~0.36 A，最大功耗：20.6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供电方式：DC：12 V ± 20%，支持防反接保护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PoE：802.3at，Type 2，Class 4</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电源接口类型：3芯电源接口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线缆长度：35 cm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防护：IP67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133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76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E9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FA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F144">
            <w:pPr>
              <w:keepNext w:val="0"/>
              <w:keepLines w:val="0"/>
              <w:widowControl/>
              <w:suppressLineNumbers w:val="0"/>
              <w:jc w:val="left"/>
              <w:textAlignment w:val="center"/>
              <w:rPr>
                <w:rFonts w:hint="eastAsia" w:ascii="微软雅黑" w:hAnsi="微软雅黑" w:eastAsia="微软雅黑" w:cs="微软雅黑"/>
                <w:b/>
                <w:bCs/>
                <w:i w:val="0"/>
                <w:iCs w:val="0"/>
                <w:color w:val="FF0000"/>
                <w:sz w:val="16"/>
                <w:szCs w:val="16"/>
                <w:highlight w:val="none"/>
                <w:u w:val="none"/>
              </w:rPr>
            </w:pPr>
            <w:r>
              <w:rPr>
                <w:rFonts w:hint="eastAsia" w:ascii="微软雅黑" w:hAnsi="微软雅黑" w:eastAsia="微软雅黑" w:cs="微软雅黑"/>
                <w:b/>
                <w:bCs/>
                <w:i w:val="0"/>
                <w:iCs w:val="0"/>
                <w:snapToGrid w:val="0"/>
                <w:color w:val="000000"/>
                <w:kern w:val="0"/>
                <w:sz w:val="16"/>
                <w:szCs w:val="16"/>
                <w:highlight w:val="none"/>
                <w:u w:val="none"/>
                <w:lang w:val="en-US" w:eastAsia="zh-CN" w:bidi="ar"/>
              </w:rPr>
              <w:t>此项由甲方集采，乙方安装</w:t>
            </w:r>
          </w:p>
        </w:tc>
      </w:tr>
      <w:tr w14:paraId="52BBB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63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462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硬盘</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93B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10TB容量，3.5英寸，SATA3.0接口，5400RPM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空气盘， CMR传统磁记录</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传输速率215MB/s，流畅存储视频有效防止丢帧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高级格式（AF）512e扇区技术，保障硬盘扇区4K对齐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满足数据严苛的7*24小时运行可靠性、安全性的需求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支持3年有限质保服务</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适用海拔高度范围-305m至3050m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标称容量：10TB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外形规格：3.5-inch</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接口类型：SATA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刻录技术：CMR</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转速：5400RPM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缓存：256MB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最大读取速度：215MB/s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接口传输速率（最大值）：6.0Gb/s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平均读写功率（W）：5.3W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加载/卸载周期：600,000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MTBF：1,000,000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年负荷（TB/年）：180TB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工作状态温度(°C)：0-65℃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尺寸：147mm(L)×101.6mm(W)×26.1mm(H)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06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47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84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4130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37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24780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7CD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1、水厂现有录像机路数已满足扩展要求，无需在增加</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2、64路 摄像头保存90天，需要197T，开启smart265需要131TB;现有10T*4;6T*6;在增加10T*6；共计136TB</w:t>
            </w:r>
          </w:p>
        </w:tc>
      </w:tr>
      <w:tr w14:paraId="13A4A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67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D27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壁装监控立杆</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5B4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L型壁装监控立杆 ；双枪支架</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74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1F3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3C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169</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E4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2197</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1921">
            <w:pPr>
              <w:jc w:val="left"/>
              <w:rPr>
                <w:rFonts w:hint="eastAsia" w:ascii="微软雅黑" w:hAnsi="微软雅黑" w:eastAsia="微软雅黑" w:cs="微软雅黑"/>
                <w:i w:val="0"/>
                <w:iCs w:val="0"/>
                <w:color w:val="000000"/>
                <w:sz w:val="16"/>
                <w:szCs w:val="16"/>
                <w:highlight w:val="none"/>
                <w:u w:val="none"/>
              </w:rPr>
            </w:pPr>
          </w:p>
        </w:tc>
      </w:tr>
      <w:tr w14:paraId="7CA99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7F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DE0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室外防水箱</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187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漏电保护器*3；插牌；开关电源；防雷器；· 工控配置：2P 16A空开 1个；2P 20kA 防浪涌(防雷)模块 1个；5孔导轨式插座 3个；高压接线端子 2个；接地铜排 1个；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基础配置：十字铜芯一字锁，内置两条工业导轨（280mm/80mm）,一块多孔工业挂板（360mm*160mm），一条接地铜排；</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防水等级：IP65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支持壁挂、抱箍、落地等三种安装方式；</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43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51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DD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1071</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B4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5355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66B2">
            <w:pPr>
              <w:jc w:val="left"/>
              <w:rPr>
                <w:rFonts w:hint="eastAsia" w:ascii="微软雅黑" w:hAnsi="微软雅黑" w:eastAsia="微软雅黑" w:cs="微软雅黑"/>
                <w:i w:val="0"/>
                <w:iCs w:val="0"/>
                <w:color w:val="000000"/>
                <w:sz w:val="16"/>
                <w:szCs w:val="16"/>
                <w:highlight w:val="none"/>
                <w:u w:val="none"/>
              </w:rPr>
            </w:pPr>
          </w:p>
        </w:tc>
      </w:tr>
      <w:tr w14:paraId="029D5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51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46A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非屏蔽网线</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EF7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国标 超五类非屏蔽网线</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9B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箱</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5B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EA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760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28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6840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BF51">
            <w:pPr>
              <w:jc w:val="left"/>
              <w:rPr>
                <w:rFonts w:hint="eastAsia" w:ascii="微软雅黑" w:hAnsi="微软雅黑" w:eastAsia="微软雅黑" w:cs="微软雅黑"/>
                <w:i w:val="0"/>
                <w:iCs w:val="0"/>
                <w:color w:val="000000"/>
                <w:sz w:val="16"/>
                <w:szCs w:val="16"/>
                <w:highlight w:val="none"/>
                <w:u w:val="none"/>
              </w:rPr>
            </w:pPr>
          </w:p>
        </w:tc>
      </w:tr>
      <w:tr w14:paraId="460B7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54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9A2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8口POE接入交换机</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C00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个10/100/1000Mbps电口（支持PoE/PoE+），1个10/100/1000Mbps电口。整机POE最大输出功率120W，支持端口状态显示、端口流量统计、PoE端口输出功率状态、端口双工/协商速率配置、流控配置、PoE输出开关，支持广播风暴抑制、端口限速、端口隔离，支持端口镜像、环路保护、线缆检测支持EWEB/APP/MACC管理</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F5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3F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F2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815</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77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2445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AF4C">
            <w:pPr>
              <w:jc w:val="left"/>
              <w:rPr>
                <w:rFonts w:hint="eastAsia" w:ascii="微软雅黑" w:hAnsi="微软雅黑" w:eastAsia="微软雅黑" w:cs="微软雅黑"/>
                <w:i w:val="0"/>
                <w:iCs w:val="0"/>
                <w:color w:val="000000"/>
                <w:sz w:val="16"/>
                <w:szCs w:val="16"/>
                <w:highlight w:val="none"/>
                <w:u w:val="none"/>
              </w:rPr>
            </w:pPr>
          </w:p>
        </w:tc>
      </w:tr>
      <w:tr w14:paraId="63B36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8D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95A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4口POE交换机</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4A9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个10/100/1000Mbps电口（支持PoE/PoE+），1个10/100/1000Mbps电口。整机POE最大输出功率54W，支持端口状态显示、端口流量统计、PoE端口输出功率状态、端口双工/协商速率配置、流控配置、PoE输出开关，支持广播风暴抑制、端口限速、端口隔离，支持端口镜像、环路保护、线缆检测，支持EWEB/APP/MACC管理。</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8F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457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D7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586</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4F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2344</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0FE4">
            <w:pPr>
              <w:jc w:val="left"/>
              <w:rPr>
                <w:rFonts w:hint="eastAsia" w:ascii="微软雅黑" w:hAnsi="微软雅黑" w:eastAsia="微软雅黑" w:cs="微软雅黑"/>
                <w:i w:val="0"/>
                <w:iCs w:val="0"/>
                <w:color w:val="000000"/>
                <w:sz w:val="16"/>
                <w:szCs w:val="16"/>
                <w:highlight w:val="none"/>
                <w:u w:val="none"/>
              </w:rPr>
            </w:pPr>
          </w:p>
        </w:tc>
      </w:tr>
      <w:tr w14:paraId="7352D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5E1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C55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B9B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795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38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05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27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5766">
            <w:pPr>
              <w:jc w:val="left"/>
              <w:rPr>
                <w:rFonts w:hint="eastAsia" w:ascii="微软雅黑" w:hAnsi="微软雅黑" w:eastAsia="微软雅黑" w:cs="微软雅黑"/>
                <w:i w:val="0"/>
                <w:iCs w:val="0"/>
                <w:color w:val="000000"/>
                <w:sz w:val="16"/>
                <w:szCs w:val="16"/>
                <w:highlight w:val="none"/>
                <w:u w:val="none"/>
              </w:rPr>
            </w:pPr>
          </w:p>
        </w:tc>
      </w:tr>
      <w:tr w14:paraId="6D47A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592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4FC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504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CD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B00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BB1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3500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B0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3500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9C69">
            <w:pPr>
              <w:jc w:val="center"/>
              <w:rPr>
                <w:rFonts w:hint="eastAsia" w:ascii="微软雅黑" w:hAnsi="微软雅黑" w:eastAsia="微软雅黑" w:cs="微软雅黑"/>
                <w:i w:val="0"/>
                <w:iCs w:val="0"/>
                <w:color w:val="000000"/>
                <w:sz w:val="16"/>
                <w:szCs w:val="16"/>
                <w:highlight w:val="none"/>
                <w:u w:val="none"/>
              </w:rPr>
            </w:pPr>
          </w:p>
        </w:tc>
      </w:tr>
      <w:tr w14:paraId="59776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F4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15A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B51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2C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3F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76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15900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BE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15900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FB2C">
            <w:pPr>
              <w:jc w:val="center"/>
              <w:rPr>
                <w:rFonts w:hint="eastAsia" w:ascii="微软雅黑" w:hAnsi="微软雅黑" w:eastAsia="微软雅黑" w:cs="微软雅黑"/>
                <w:i w:val="0"/>
                <w:iCs w:val="0"/>
                <w:color w:val="000000"/>
                <w:sz w:val="16"/>
                <w:szCs w:val="16"/>
                <w:highlight w:val="none"/>
                <w:u w:val="none"/>
              </w:rPr>
            </w:pPr>
          </w:p>
        </w:tc>
      </w:tr>
      <w:tr w14:paraId="36442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EE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91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9387C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小计</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854F">
            <w:pPr>
              <w:keepNext w:val="0"/>
              <w:keepLines w:val="0"/>
              <w:widowControl/>
              <w:suppressLineNumbers w:val="0"/>
              <w:jc w:val="righ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64361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3979">
            <w:pPr>
              <w:jc w:val="left"/>
              <w:rPr>
                <w:rFonts w:hint="eastAsia" w:ascii="微软雅黑" w:hAnsi="微软雅黑" w:eastAsia="微软雅黑" w:cs="微软雅黑"/>
                <w:i w:val="0"/>
                <w:iCs w:val="0"/>
                <w:color w:val="000000"/>
                <w:sz w:val="16"/>
                <w:szCs w:val="16"/>
                <w:highlight w:val="none"/>
                <w:u w:val="none"/>
              </w:rPr>
            </w:pPr>
          </w:p>
        </w:tc>
      </w:tr>
      <w:tr w14:paraId="3605D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nil"/>
              <w:right w:val="single" w:color="000000" w:sz="4" w:space="0"/>
            </w:tcBorders>
            <w:shd w:val="clear" w:color="auto" w:fill="auto"/>
            <w:vAlign w:val="center"/>
          </w:tcPr>
          <w:p w14:paraId="2D7C605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三</w:t>
            </w:r>
          </w:p>
        </w:tc>
        <w:tc>
          <w:tcPr>
            <w:tcW w:w="98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3BD7FE">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园区监控</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A129">
            <w:pPr>
              <w:jc w:val="left"/>
              <w:rPr>
                <w:rFonts w:hint="eastAsia" w:ascii="微软雅黑" w:hAnsi="微软雅黑" w:eastAsia="微软雅黑" w:cs="微软雅黑"/>
                <w:i w:val="0"/>
                <w:iCs w:val="0"/>
                <w:color w:val="000000"/>
                <w:sz w:val="16"/>
                <w:szCs w:val="16"/>
                <w:highlight w:val="none"/>
                <w:u w:val="none"/>
              </w:rPr>
            </w:pPr>
          </w:p>
        </w:tc>
      </w:tr>
      <w:tr w14:paraId="34020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83"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657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EE2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网络摄像机</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098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最大图像尺寸：2560 × 1440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主码流帧率分辨率：50 Hz：25 fps（2560 × 1440 , 1920 × 1080，1280 × 720）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子码流帧率分辨率：50 Hz：25 fps（1280 × 720，640 × 480，640 × 360）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视频压缩标准：主码流：H.265/H.264，支持超级智能编码 子码流：H.265/H.264/MJPEG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视频压缩码率：32 Kbps~8 Mbps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H.264编码类型：BaseLine Profile/Main Profile/High Profile</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H.265编码类型：Main Profile</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码率控制：定码率，变码率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SVC：支持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ROI：支持主码流设置1个固定区域</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事件</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报警触发：移动侦测（支持人形/车形侦测），异常</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Smart事件：区域入侵侦测，越界侦测，进入区域侦测，离开区域侦测（支持人形、车形检测）</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音频压缩标准：G.711ulaw/G.711alaw/G.722.1/G.726/MP2L2/PCM/AAC-LC/MP3</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音频压缩码率：64 Kbps（G.711ulaw/G.711alaw）/16 Kbps（G.722.1）/16 Kbps（G.726）/32~160 Kbps（MP2L2）/16~64 Kbps（AAC-LC）/8~160 Kbps（MP3）</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音频采样率：8 kHz/16 kHz</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音频环境噪声过滤：支持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网络传输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网络协议：TCP/IP，ICMP，HTTP，FTP，DHCP，DNS，RTP，RTSP，RTCP，NTP，SMTP，IGMP，QoS，UDP，Bonjour，HTTPS，IPv6，IPv4</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同时预览路数：最多6路</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接口协议（API）：开放型网络视频接口，ISAPI，SDK，GB28181</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用户管理：最多32个用户 可分3级用户权限管理：管理员，操作员，普通用户</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客户端：iVMS-4200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浏览器：使用本地服务预览：Chrome 91+，Firefox 88+，Edge 91+</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图像设置：镜像，饱和度，亮度，对比度，锐度，AGC，白平衡通过客户端或者浏览器可调</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日夜转换模式：白天，夜晚，自动，定时切换</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图像增强：背光补偿，强光抑制，3D数字降噪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音频：支持1个内置麦克风 支持1个内置扬声器</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网络：1个RJ45 10 M/100 M自适应以太网口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摄像机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传感器类型：1/1.8" Progressive Scan CMOS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最低照度：彩色：0.0005 Lux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快门：1 s~1/100,000 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宽动态：120 dB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镜头</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镜头尺寸接口：M16</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光圈类型：固定光圈</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最大光圈数：F1.0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景深范围：2.8 mm：2.4 m~∞ 4 mm：3.1 m~∞ 6 mm：6.8 m~∞ 8 mm：8.8 m~135 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焦距&amp;视场角：2.8 mm，水平视场角：105.7°，垂直视场角：57.2°，对角视场角：124.5° 4 mm，水平视场角：88.7°，垂直视场角：44.7°，对角视场角：107.5° 6 mm，水平视场角：55.2°，垂直视场角：29.3°，对角视场角：64.6° 8 mm，水平视场角：41°，垂直视场角：23°，对角视场角：47°</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补光距离：最远可达30 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防补光过曝：支持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补光灯类型：柔光灯</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防护：IP67</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一般规格</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联动方式：上传FTP，上传中心，邮件，抓图，声音报警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通用功能：心跳，密码保护，水印技术，像素计算器，视频遮盖</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恢复出厂设置：支持客户端或浏览器恢复</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启动和工作温湿度：-30 °C~60 °C，湿度小于95%（无凝结）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供电方式：DC：12 V ± 25%，支持防反接保护 PoE：IEEE 802.3af，CLASS 3 *DWD型号不支持PoE</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电流及功耗：3T47SWD型号： DC：12 V，0.75 A，最大功耗：9 W PoE：IEEE 802.3af，CLASS 3，最大功耗：10.5 W 3T47SDWD型号： DC：12 V，0.75 A，最大功耗：9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电源接口类型：Ø5.5 mm圆口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产品尺寸：2.8 mm焦距段型号： 182.8 × 92.7 × 87.6 mm 其他焦距段型号： 189.4 × 92.7 × 87.6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包装尺寸：235 × 120 × 125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设备重量：540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带包装重量：670 g</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79E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44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3A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47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8516">
            <w:pPr>
              <w:keepNext w:val="0"/>
              <w:keepLines w:val="0"/>
              <w:widowControl/>
              <w:suppressLineNumbers w:val="0"/>
              <w:jc w:val="left"/>
              <w:textAlignment w:val="center"/>
              <w:rPr>
                <w:rFonts w:hint="eastAsia" w:ascii="微软雅黑" w:hAnsi="微软雅黑" w:eastAsia="微软雅黑" w:cs="微软雅黑"/>
                <w:b/>
                <w:bCs/>
                <w:i w:val="0"/>
                <w:iCs w:val="0"/>
                <w:color w:val="FF0000"/>
                <w:sz w:val="16"/>
                <w:szCs w:val="16"/>
                <w:highlight w:val="none"/>
                <w:u w:val="none"/>
              </w:rPr>
            </w:pPr>
            <w:r>
              <w:rPr>
                <w:rFonts w:hint="eastAsia" w:ascii="微软雅黑" w:hAnsi="微软雅黑" w:eastAsia="微软雅黑" w:cs="微软雅黑"/>
                <w:b/>
                <w:bCs/>
                <w:i w:val="0"/>
                <w:iCs w:val="0"/>
                <w:snapToGrid w:val="0"/>
                <w:color w:val="000000"/>
                <w:kern w:val="0"/>
                <w:sz w:val="16"/>
                <w:szCs w:val="16"/>
                <w:highlight w:val="none"/>
                <w:u w:val="none"/>
                <w:lang w:val="en-US" w:eastAsia="zh-CN" w:bidi="ar"/>
              </w:rPr>
              <w:t>此项由甲方集采，乙方安装，存储和周界公用一台，超出部分借用现有NVR</w:t>
            </w:r>
          </w:p>
        </w:tc>
      </w:tr>
      <w:tr w14:paraId="40E56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09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0E5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落地监控立杆</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116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3.5米监控立杆</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6B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F9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A5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369</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84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369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D9DD">
            <w:pPr>
              <w:jc w:val="left"/>
              <w:rPr>
                <w:rFonts w:hint="eastAsia" w:ascii="微软雅黑" w:hAnsi="微软雅黑" w:eastAsia="微软雅黑" w:cs="微软雅黑"/>
                <w:i w:val="0"/>
                <w:iCs w:val="0"/>
                <w:color w:val="000000"/>
                <w:sz w:val="16"/>
                <w:szCs w:val="16"/>
                <w:highlight w:val="none"/>
                <w:u w:val="none"/>
              </w:rPr>
            </w:pPr>
          </w:p>
        </w:tc>
      </w:tr>
      <w:tr w14:paraId="6CE19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3A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698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监控立杆预埋件</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D53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立杆预埋件，27*26*60cm ；螺丝：14mm；对角：205 240 260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F2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27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16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61</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12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A1AC">
            <w:pPr>
              <w:jc w:val="left"/>
              <w:rPr>
                <w:rFonts w:hint="eastAsia" w:ascii="微软雅黑" w:hAnsi="微软雅黑" w:eastAsia="微软雅黑" w:cs="微软雅黑"/>
                <w:i w:val="0"/>
                <w:iCs w:val="0"/>
                <w:color w:val="000000"/>
                <w:sz w:val="16"/>
                <w:szCs w:val="16"/>
                <w:highlight w:val="none"/>
                <w:u w:val="none"/>
              </w:rPr>
            </w:pPr>
          </w:p>
        </w:tc>
      </w:tr>
      <w:tr w14:paraId="1735F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87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271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室外防水箱</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24B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漏电保护器*3；插牌；开关电源；防雷器；· 工控配置：2P 16A空开 1个；2P 20kA 防浪涌(防雷)模块 1个；5孔导轨式插座 3个；高压接线端子 2个；接地铜排 1个；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基础配置：十字铜芯一字锁，内置两条工业导轨（280mm/80mm）,一块多孔工业挂板（360mm*160mm），一条接地铜排；</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防水等级：IP65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支持壁挂、抱箍、落地等三种安装方式；</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F9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42A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68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1153</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93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1153</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B4D8">
            <w:pPr>
              <w:jc w:val="left"/>
              <w:rPr>
                <w:rFonts w:hint="eastAsia" w:ascii="微软雅黑" w:hAnsi="微软雅黑" w:eastAsia="微软雅黑" w:cs="微软雅黑"/>
                <w:i w:val="0"/>
                <w:iCs w:val="0"/>
                <w:color w:val="000000"/>
                <w:sz w:val="16"/>
                <w:szCs w:val="16"/>
                <w:highlight w:val="none"/>
                <w:u w:val="none"/>
              </w:rPr>
            </w:pPr>
          </w:p>
        </w:tc>
      </w:tr>
      <w:tr w14:paraId="1F5D4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68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BC8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室外铠装光纤</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EBD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8芯室外铠装单模光纤</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FF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552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50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04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330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03AA">
            <w:pPr>
              <w:jc w:val="left"/>
              <w:rPr>
                <w:rFonts w:hint="eastAsia" w:ascii="微软雅黑" w:hAnsi="微软雅黑" w:eastAsia="微软雅黑" w:cs="微软雅黑"/>
                <w:i w:val="0"/>
                <w:iCs w:val="0"/>
                <w:color w:val="000000"/>
                <w:sz w:val="16"/>
                <w:szCs w:val="16"/>
                <w:highlight w:val="none"/>
                <w:u w:val="none"/>
              </w:rPr>
            </w:pPr>
          </w:p>
        </w:tc>
      </w:tr>
      <w:tr w14:paraId="2FD2C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E5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0A4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电源线</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134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国标RVV 2*2.5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4B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EB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A9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8.1</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0D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1215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B927">
            <w:pPr>
              <w:jc w:val="left"/>
              <w:rPr>
                <w:rFonts w:hint="eastAsia" w:ascii="微软雅黑" w:hAnsi="微软雅黑" w:eastAsia="微软雅黑" w:cs="微软雅黑"/>
                <w:i w:val="0"/>
                <w:iCs w:val="0"/>
                <w:color w:val="000000"/>
                <w:sz w:val="16"/>
                <w:szCs w:val="16"/>
                <w:highlight w:val="none"/>
                <w:u w:val="none"/>
              </w:rPr>
            </w:pPr>
          </w:p>
        </w:tc>
      </w:tr>
      <w:tr w14:paraId="78902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4A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C1D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8口POE接入交换机</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C56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个10/100/1000Mbps电口（支持PoE/PoE+），1个10/100/1000Mbps电口。整机POE最大输出功率120W，支持端口状态显示、端口流量统计、PoE端口输出功率状态、端口双工/协商速率配置、流控配置、PoE输出开关，支持广播风暴抑制、端口限速、端口隔离，支持端口镜像、环路保护、线缆检测支持EWEB/APP/MACC管理</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23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90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D7B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815</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65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815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3816">
            <w:pPr>
              <w:jc w:val="left"/>
              <w:rPr>
                <w:rFonts w:hint="eastAsia" w:ascii="微软雅黑" w:hAnsi="微软雅黑" w:eastAsia="微软雅黑" w:cs="微软雅黑"/>
                <w:i w:val="0"/>
                <w:iCs w:val="0"/>
                <w:color w:val="000000"/>
                <w:sz w:val="16"/>
                <w:szCs w:val="16"/>
                <w:highlight w:val="none"/>
                <w:u w:val="none"/>
              </w:rPr>
            </w:pPr>
          </w:p>
        </w:tc>
      </w:tr>
      <w:tr w14:paraId="6FECD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B0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23E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4CB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57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59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AC8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185</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067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190B">
            <w:pPr>
              <w:jc w:val="left"/>
              <w:rPr>
                <w:rFonts w:hint="eastAsia" w:ascii="微软雅黑" w:hAnsi="微软雅黑" w:eastAsia="微软雅黑" w:cs="微软雅黑"/>
                <w:i w:val="0"/>
                <w:iCs w:val="0"/>
                <w:color w:val="000000"/>
                <w:sz w:val="16"/>
                <w:szCs w:val="16"/>
                <w:highlight w:val="none"/>
                <w:u w:val="none"/>
              </w:rPr>
            </w:pPr>
          </w:p>
        </w:tc>
      </w:tr>
      <w:tr w14:paraId="26E43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D2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CDA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PVC阻燃穿线管</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F6F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PVC穿线管</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AC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EA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B30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2.8</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31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420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AD13">
            <w:pPr>
              <w:jc w:val="left"/>
              <w:rPr>
                <w:rFonts w:hint="eastAsia" w:ascii="微软雅黑" w:hAnsi="微软雅黑" w:eastAsia="微软雅黑" w:cs="微软雅黑"/>
                <w:i w:val="0"/>
                <w:iCs w:val="0"/>
                <w:color w:val="000000"/>
                <w:sz w:val="16"/>
                <w:szCs w:val="16"/>
                <w:highlight w:val="none"/>
                <w:u w:val="none"/>
              </w:rPr>
            </w:pPr>
          </w:p>
        </w:tc>
      </w:tr>
      <w:tr w14:paraId="7791E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57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813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5F0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C1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CE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499C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1200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01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4EB8">
            <w:pPr>
              <w:jc w:val="center"/>
              <w:rPr>
                <w:rFonts w:hint="eastAsia" w:ascii="微软雅黑" w:hAnsi="微软雅黑" w:eastAsia="微软雅黑" w:cs="微软雅黑"/>
                <w:i w:val="0"/>
                <w:iCs w:val="0"/>
                <w:color w:val="000000"/>
                <w:sz w:val="16"/>
                <w:szCs w:val="16"/>
                <w:highlight w:val="none"/>
                <w:u w:val="none"/>
              </w:rPr>
            </w:pPr>
          </w:p>
        </w:tc>
      </w:tr>
      <w:tr w14:paraId="3E37B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13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CD5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6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2BE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F9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D5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E4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5900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E2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5900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5B43">
            <w:pPr>
              <w:jc w:val="center"/>
              <w:rPr>
                <w:rFonts w:hint="eastAsia" w:ascii="微软雅黑" w:hAnsi="微软雅黑" w:eastAsia="微软雅黑" w:cs="微软雅黑"/>
                <w:i w:val="0"/>
                <w:iCs w:val="0"/>
                <w:color w:val="000000"/>
                <w:sz w:val="16"/>
                <w:szCs w:val="16"/>
                <w:highlight w:val="none"/>
                <w:u w:val="none"/>
              </w:rPr>
            </w:pPr>
          </w:p>
        </w:tc>
      </w:tr>
      <w:tr w14:paraId="11D7E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E5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w:t>
            </w:r>
          </w:p>
        </w:tc>
        <w:tc>
          <w:tcPr>
            <w:tcW w:w="9150" w:type="dxa"/>
            <w:gridSpan w:val="5"/>
            <w:tcBorders>
              <w:top w:val="single" w:color="000000" w:sz="4" w:space="0"/>
              <w:left w:val="single" w:color="000000" w:sz="4" w:space="0"/>
              <w:bottom w:val="single" w:color="000000" w:sz="4" w:space="0"/>
              <w:right w:val="nil"/>
            </w:tcBorders>
            <w:shd w:val="clear" w:color="auto" w:fill="auto"/>
            <w:vAlign w:val="center"/>
          </w:tcPr>
          <w:p w14:paraId="2B010E7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highlight w:val="none"/>
                <w:u w:val="none"/>
              </w:rPr>
            </w:pPr>
            <w:r>
              <w:rPr>
                <w:rFonts w:hint="eastAsia" w:ascii="微软雅黑" w:hAnsi="微软雅黑" w:eastAsia="微软雅黑" w:cs="微软雅黑"/>
                <w:b/>
                <w:bCs/>
                <w:i w:val="0"/>
                <w:iCs w:val="0"/>
                <w:snapToGrid w:val="0"/>
                <w:color w:val="000000"/>
                <w:kern w:val="0"/>
                <w:sz w:val="16"/>
                <w:szCs w:val="16"/>
                <w:highlight w:val="none"/>
                <w:u w:val="none"/>
                <w:lang w:val="en-US" w:eastAsia="zh-CN" w:bidi="ar"/>
              </w:rPr>
              <w:t>小计</w:t>
            </w:r>
          </w:p>
        </w:tc>
        <w:tc>
          <w:tcPr>
            <w:tcW w:w="717" w:type="dxa"/>
            <w:tcBorders>
              <w:top w:val="single" w:color="000000" w:sz="4" w:space="0"/>
              <w:left w:val="nil"/>
              <w:bottom w:val="single" w:color="000000" w:sz="4" w:space="0"/>
              <w:right w:val="single" w:color="000000" w:sz="4" w:space="0"/>
            </w:tcBorders>
            <w:shd w:val="clear" w:color="auto" w:fill="auto"/>
            <w:vAlign w:val="center"/>
          </w:tcPr>
          <w:p w14:paraId="4FBDEBDC">
            <w:pPr>
              <w:keepNext w:val="0"/>
              <w:keepLines w:val="0"/>
              <w:widowControl/>
              <w:suppressLineNumbers w:val="0"/>
              <w:jc w:val="righ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11648</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606C">
            <w:pPr>
              <w:jc w:val="left"/>
              <w:rPr>
                <w:rFonts w:hint="eastAsia" w:ascii="微软雅黑" w:hAnsi="微软雅黑" w:eastAsia="微软雅黑" w:cs="微软雅黑"/>
                <w:i w:val="0"/>
                <w:iCs w:val="0"/>
                <w:color w:val="000000"/>
                <w:sz w:val="16"/>
                <w:szCs w:val="16"/>
                <w:highlight w:val="none"/>
                <w:u w:val="none"/>
              </w:rPr>
            </w:pPr>
          </w:p>
        </w:tc>
      </w:tr>
      <w:tr w14:paraId="6C947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10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833" w:type="dxa"/>
            <w:tcBorders>
              <w:top w:val="single" w:color="A6A6A6" w:sz="4" w:space="0"/>
              <w:left w:val="single" w:color="A6A6A6" w:sz="4" w:space="0"/>
              <w:bottom w:val="single" w:color="000000" w:sz="4" w:space="0"/>
              <w:right w:val="single" w:color="A6A6A6" w:sz="4" w:space="0"/>
            </w:tcBorders>
            <w:shd w:val="clear" w:color="auto" w:fill="FFFFFF"/>
            <w:vAlign w:val="center"/>
          </w:tcPr>
          <w:p w14:paraId="3C2EC9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总计</w:t>
            </w:r>
          </w:p>
        </w:tc>
        <w:tc>
          <w:tcPr>
            <w:tcW w:w="9034" w:type="dxa"/>
            <w:gridSpan w:val="5"/>
            <w:tcBorders>
              <w:top w:val="single" w:color="A6A6A6" w:sz="4" w:space="0"/>
              <w:left w:val="nil"/>
              <w:bottom w:val="single" w:color="000000" w:sz="4" w:space="0"/>
              <w:right w:val="single" w:color="A6A6A6" w:sz="4" w:space="0"/>
            </w:tcBorders>
            <w:shd w:val="clear" w:color="auto" w:fill="FFFFFF"/>
            <w:vAlign w:val="center"/>
          </w:tcPr>
          <w:p w14:paraId="0456D1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212464.4</w:t>
            </w:r>
          </w:p>
        </w:tc>
        <w:tc>
          <w:tcPr>
            <w:tcW w:w="916" w:type="dxa"/>
            <w:tcBorders>
              <w:top w:val="single" w:color="A6A6A6" w:sz="4" w:space="0"/>
              <w:left w:val="single" w:color="A6A6A6" w:sz="4" w:space="0"/>
              <w:bottom w:val="single" w:color="000000" w:sz="4" w:space="0"/>
              <w:right w:val="single" w:color="A6A6A6" w:sz="4" w:space="0"/>
            </w:tcBorders>
            <w:shd w:val="clear" w:color="auto" w:fill="FFFFFF"/>
            <w:vAlign w:val="top"/>
          </w:tcPr>
          <w:p w14:paraId="49B21E43">
            <w:pPr>
              <w:rPr>
                <w:rFonts w:hint="eastAsia" w:ascii="微软雅黑" w:hAnsi="微软雅黑" w:eastAsia="微软雅黑" w:cs="微软雅黑"/>
                <w:i w:val="0"/>
                <w:iCs w:val="0"/>
                <w:color w:val="000000"/>
                <w:sz w:val="16"/>
                <w:szCs w:val="16"/>
                <w:highlight w:val="none"/>
                <w:u w:val="none"/>
              </w:rPr>
            </w:pPr>
          </w:p>
        </w:tc>
      </w:tr>
    </w:tbl>
    <w:p w14:paraId="23B23183">
      <w:pPr>
        <w:pStyle w:val="32"/>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sz w:val="28"/>
          <w:szCs w:val="28"/>
          <w:highlight w:val="none"/>
          <w:lang w:val="en-US" w:eastAsia="zh-CN"/>
        </w:rPr>
      </w:pPr>
    </w:p>
    <w:p w14:paraId="44F42A11">
      <w:pPr>
        <w:pStyle w:val="32"/>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sz w:val="28"/>
          <w:szCs w:val="28"/>
          <w:highlight w:val="none"/>
          <w:lang w:val="en-US" w:eastAsia="zh-CN"/>
        </w:rPr>
      </w:pPr>
    </w:p>
    <w:p w14:paraId="1327BB45">
      <w:pPr>
        <w:pStyle w:val="32"/>
        <w:numPr>
          <w:ilvl w:val="0"/>
          <w:numId w:val="0"/>
        </w:numPr>
        <w:rPr>
          <w:rFonts w:hint="eastAsia" w:ascii="仿宋" w:hAnsi="仿宋" w:eastAsia="仿宋" w:cs="仿宋"/>
          <w:sz w:val="28"/>
          <w:szCs w:val="28"/>
          <w:highlight w:val="none"/>
        </w:rPr>
      </w:pPr>
    </w:p>
    <w:p w14:paraId="439C98E3">
      <w:pPr>
        <w:pStyle w:val="32"/>
        <w:numPr>
          <w:ilvl w:val="0"/>
          <w:numId w:val="0"/>
        </w:numPr>
        <w:rPr>
          <w:rFonts w:hint="eastAsia" w:ascii="仿宋" w:hAnsi="仿宋" w:eastAsia="仿宋" w:cs="仿宋"/>
          <w:sz w:val="28"/>
          <w:szCs w:val="28"/>
          <w:highlight w:val="none"/>
        </w:rPr>
      </w:pPr>
    </w:p>
    <w:tbl>
      <w:tblPr>
        <w:tblStyle w:val="17"/>
        <w:tblW w:w="11001" w:type="dxa"/>
        <w:tblInd w:w="-1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1217"/>
        <w:gridCol w:w="5317"/>
        <w:gridCol w:w="500"/>
        <w:gridCol w:w="650"/>
        <w:gridCol w:w="833"/>
        <w:gridCol w:w="800"/>
        <w:gridCol w:w="918"/>
      </w:tblGrid>
      <w:tr w14:paraId="3A1E7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1100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49DFA">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highlight w:val="none"/>
                <w:u w:val="none"/>
              </w:rPr>
            </w:pPr>
            <w:r>
              <w:rPr>
                <w:rFonts w:hint="eastAsia" w:ascii="微软雅黑" w:hAnsi="微软雅黑" w:eastAsia="微软雅黑" w:cs="微软雅黑"/>
                <w:b/>
                <w:bCs/>
                <w:i w:val="0"/>
                <w:iCs w:val="0"/>
                <w:snapToGrid w:val="0"/>
                <w:color w:val="000000"/>
                <w:kern w:val="0"/>
                <w:sz w:val="32"/>
                <w:szCs w:val="32"/>
                <w:highlight w:val="none"/>
                <w:u w:val="none"/>
                <w:lang w:val="en-US" w:eastAsia="zh-CN" w:bidi="ar"/>
              </w:rPr>
              <w:t>红石崖水厂电子围栏</w:t>
            </w:r>
          </w:p>
        </w:tc>
      </w:tr>
      <w:tr w14:paraId="5995D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766" w:type="dxa"/>
            <w:tcBorders>
              <w:top w:val="nil"/>
              <w:left w:val="single" w:color="000000" w:sz="4" w:space="0"/>
              <w:bottom w:val="nil"/>
              <w:right w:val="single" w:color="000000" w:sz="4" w:space="0"/>
            </w:tcBorders>
            <w:shd w:val="clear" w:color="auto" w:fill="auto"/>
            <w:vAlign w:val="center"/>
          </w:tcPr>
          <w:p w14:paraId="7C7F3DD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序号</w:t>
            </w:r>
          </w:p>
        </w:tc>
        <w:tc>
          <w:tcPr>
            <w:tcW w:w="1217" w:type="dxa"/>
            <w:tcBorders>
              <w:top w:val="nil"/>
              <w:left w:val="single" w:color="000000" w:sz="4" w:space="0"/>
              <w:bottom w:val="nil"/>
              <w:right w:val="single" w:color="000000" w:sz="4" w:space="0"/>
            </w:tcBorders>
            <w:shd w:val="clear" w:color="auto" w:fill="auto"/>
            <w:vAlign w:val="center"/>
          </w:tcPr>
          <w:p w14:paraId="002B59E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名称</w:t>
            </w:r>
          </w:p>
        </w:tc>
        <w:tc>
          <w:tcPr>
            <w:tcW w:w="5317" w:type="dxa"/>
            <w:tcBorders>
              <w:top w:val="nil"/>
              <w:left w:val="single" w:color="000000" w:sz="4" w:space="0"/>
              <w:bottom w:val="nil"/>
              <w:right w:val="single" w:color="000000" w:sz="4" w:space="0"/>
            </w:tcBorders>
            <w:shd w:val="clear" w:color="auto" w:fill="auto"/>
            <w:vAlign w:val="center"/>
          </w:tcPr>
          <w:p w14:paraId="59FF500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技术规格</w:t>
            </w:r>
          </w:p>
        </w:tc>
        <w:tc>
          <w:tcPr>
            <w:tcW w:w="500" w:type="dxa"/>
            <w:tcBorders>
              <w:top w:val="nil"/>
              <w:left w:val="single" w:color="000000" w:sz="4" w:space="0"/>
              <w:bottom w:val="nil"/>
              <w:right w:val="single" w:color="000000" w:sz="4" w:space="0"/>
            </w:tcBorders>
            <w:shd w:val="clear" w:color="auto" w:fill="auto"/>
            <w:vAlign w:val="center"/>
          </w:tcPr>
          <w:p w14:paraId="5B189A2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单位</w:t>
            </w:r>
          </w:p>
        </w:tc>
        <w:tc>
          <w:tcPr>
            <w:tcW w:w="650" w:type="dxa"/>
            <w:tcBorders>
              <w:top w:val="nil"/>
              <w:left w:val="single" w:color="000000" w:sz="4" w:space="0"/>
              <w:bottom w:val="nil"/>
              <w:right w:val="single" w:color="000000" w:sz="4" w:space="0"/>
            </w:tcBorders>
            <w:shd w:val="clear" w:color="auto" w:fill="auto"/>
            <w:vAlign w:val="center"/>
          </w:tcPr>
          <w:p w14:paraId="3DE9EC9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数量</w:t>
            </w:r>
          </w:p>
        </w:tc>
        <w:tc>
          <w:tcPr>
            <w:tcW w:w="833" w:type="dxa"/>
            <w:tcBorders>
              <w:top w:val="nil"/>
              <w:left w:val="single" w:color="000000" w:sz="4" w:space="0"/>
              <w:bottom w:val="nil"/>
              <w:right w:val="single" w:color="000000" w:sz="4" w:space="0"/>
            </w:tcBorders>
            <w:shd w:val="clear" w:color="auto" w:fill="auto"/>
            <w:vAlign w:val="center"/>
          </w:tcPr>
          <w:p w14:paraId="0C16669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控制单价(元)</w:t>
            </w:r>
          </w:p>
        </w:tc>
        <w:tc>
          <w:tcPr>
            <w:tcW w:w="800" w:type="dxa"/>
            <w:tcBorders>
              <w:top w:val="nil"/>
              <w:left w:val="single" w:color="000000" w:sz="4" w:space="0"/>
              <w:bottom w:val="nil"/>
              <w:right w:val="single" w:color="000000" w:sz="4" w:space="0"/>
            </w:tcBorders>
            <w:shd w:val="clear" w:color="auto" w:fill="auto"/>
            <w:vAlign w:val="center"/>
          </w:tcPr>
          <w:p w14:paraId="080A537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合价(元)</w:t>
            </w:r>
          </w:p>
        </w:tc>
        <w:tc>
          <w:tcPr>
            <w:tcW w:w="918" w:type="dxa"/>
            <w:tcBorders>
              <w:top w:val="nil"/>
              <w:left w:val="single" w:color="000000" w:sz="4" w:space="0"/>
              <w:bottom w:val="nil"/>
              <w:right w:val="single" w:color="000000" w:sz="4" w:space="0"/>
            </w:tcBorders>
            <w:shd w:val="clear" w:color="auto" w:fill="auto"/>
            <w:vAlign w:val="center"/>
          </w:tcPr>
          <w:p w14:paraId="6D89E3D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备注</w:t>
            </w:r>
          </w:p>
        </w:tc>
      </w:tr>
      <w:tr w14:paraId="34484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6" w:type="dxa"/>
            <w:tcBorders>
              <w:top w:val="single" w:color="000000" w:sz="4" w:space="0"/>
              <w:left w:val="single" w:color="000000" w:sz="4" w:space="0"/>
              <w:bottom w:val="nil"/>
              <w:right w:val="single" w:color="000000" w:sz="4" w:space="0"/>
            </w:tcBorders>
            <w:shd w:val="clear" w:color="auto" w:fill="auto"/>
            <w:vAlign w:val="center"/>
          </w:tcPr>
          <w:p w14:paraId="587AA7A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一</w:t>
            </w:r>
          </w:p>
        </w:tc>
        <w:tc>
          <w:tcPr>
            <w:tcW w:w="1023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41D9940">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四线脉冲电子围栏</w:t>
            </w:r>
          </w:p>
        </w:tc>
      </w:tr>
      <w:tr w14:paraId="34167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5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68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BD0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网络版四线双防脉冲主机</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E2F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4.3英寸的液晶显示操作屏，可显示每个防区的工作电压，带有4个功能按键可进行布防、撤防、电压调节等操作；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支持防区电压无级调控（最小颗粒度0.1Kv），电压值调控范围(0.9Kv-6.5Kv)；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支持防区报警图标显示,可实时监控每个防区情况,一旦报警被触发图标立即闪烁并报警提示；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内接式螺丝接线端子台，让高压与脉冲连接更可靠、稳定，安全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同时支持继电器干接点、RS485接口、RJ45（TCP/IP）三种通信接口，实现跟中心报警主机的通信；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内置十进制拨码模块，地址支持0~99，当采用RS485通信方式时，相较传统二进制拨码更加的准确、高效；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支持一路第三防区扩展，该功能可以支持脉冲主机外接一路探测器，在综合技防场景中可以节省施工成本，提高布线效率；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支持输出一路DC12V 1A供电，给就近其他探测器提供供电，节省综合施工成本；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支持防区报警（短路、断路、触网）、防拆报警、系统故障报警等多种报警方式；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内置两路独立高压电路，实现真正意义上的双防区，控制中心对该脉冲主机的回控可以精确到单个防区实现分别独立控制；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软件功能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防区：2个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配置方式：本地配置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异常状态监测：支持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硬件接口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电池接口：支持1路DC12V 1A蓄电池接入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报警输出：4路开关量输出（2路为防区报警输出，1路为外部开关量报警输出，1路主机掉电报警输出）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网络接口：1个RJ45接口 （10/100M）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报警输入：支持1组报警输入NO/NC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数字按键：支持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电气性能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功耗：30W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电源：脉冲主机：DC15V±10%，2A，30W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适配器：输入 AC100~240V，1.5A Max，50/60Hz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输出 DC15V，4A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有线连接：支持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显示屏：4.3寸液晶显示屏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常规参数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外壳材质：ABS工程塑料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重量：2.79kg ±0.05kg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工作温度：﹣30°C -- +55°C，±10%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工作湿度：10％ - 90％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尺寸(宽x高x深)：380mm高×255mm宽×110mm深</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AE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2A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28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2614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5BB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13070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6D34">
            <w:pPr>
              <w:jc w:val="left"/>
              <w:rPr>
                <w:rFonts w:hint="eastAsia" w:ascii="微软雅黑" w:hAnsi="微软雅黑" w:eastAsia="微软雅黑" w:cs="微软雅黑"/>
                <w:i w:val="0"/>
                <w:iCs w:val="0"/>
                <w:color w:val="000000"/>
                <w:sz w:val="16"/>
                <w:szCs w:val="16"/>
                <w:highlight w:val="none"/>
                <w:u w:val="none"/>
              </w:rPr>
            </w:pPr>
          </w:p>
        </w:tc>
      </w:tr>
      <w:tr w14:paraId="2DEF5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7"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74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86F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网络版四线单防脉冲主机</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109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4.3英寸的液晶显示操作屏，可显示每个防区的工作电压，带有4个功能按键可进行布防、撤防、电压调节等操作；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支持防区电压无级调控（最小颗粒度0.1Kv），电压值调控范围(0.9Kv-6.5Kv)；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支持防区报警图标显示,可实时监控每个防区情况,一旦报警被触发图标立即闪烁并报警提示；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内接式螺丝接线端子台，让高压与脉冲连接更可靠、稳定，安全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同时支持继电器干接点、RS485接口、RJ45（TCP/IP）三种通信接口，实现跟中心报警主机的通信；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内置十进制拨码模块，地址支持0~99，当采用RS485通信方式时，相较传统二进制拨码更加的准确、高效；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支持一路第三防区扩展，该功能可以支持脉冲主机外接一路探测器，在综合技防场景中可以节省施工成本，提高布线效率；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支持输出一路DC12V 1A供电，给就近其他探测器提供供电，节省综合施工成本；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支持防区报警（短路、断路、触网）、防拆报警、系统故障报警等多种报警方式；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软件功能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防区：1个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配置方式：本地配置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异常状态监测：支持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硬件接口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电池接口：支持1路DC12V 1A蓄电池接入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报警输出：3路开关量输出（1路为防区报警输出，1路为外部开关量报警输出，1路主机掉电报警输出）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网络接口：1个RJ45接口 （10/100M）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报警输入：支持1组报警输入NO/NC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数字按键：支持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电气性能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功耗：30W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电源：脉冲主机：DC15V±10%，2A，30W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适配器：输入 AC100~240V，1.5A Max，50/60Hz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输出 DC15V，4A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有线连接：支持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显示屏：液晶显示屏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常规参数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外壳材质：ABS工程塑料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重量：2.2kg ±0.05kg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工作温度：﹣30°C -- +55°C，±10%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工作湿度：10％ - 90％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尺寸(宽x高x深)：380mm高×255mm宽×110mm深</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D6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DA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9F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2185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B9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2185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3513">
            <w:pPr>
              <w:jc w:val="left"/>
              <w:rPr>
                <w:rFonts w:hint="eastAsia" w:ascii="微软雅黑" w:hAnsi="微软雅黑" w:eastAsia="微软雅黑" w:cs="微软雅黑"/>
                <w:i w:val="0"/>
                <w:iCs w:val="0"/>
                <w:color w:val="000000"/>
                <w:sz w:val="16"/>
                <w:szCs w:val="16"/>
                <w:highlight w:val="none"/>
                <w:u w:val="none"/>
              </w:rPr>
            </w:pPr>
          </w:p>
        </w:tc>
      </w:tr>
      <w:tr w14:paraId="64E16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8"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6D1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2E0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周界报警室外工控箱</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88F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设备材质：冷轧钢板、镀锌喷塑 ，壁厚 1.0mm±0.15mm；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尺寸（高宽深）：含帽沿（高*宽*深）：600mm*400mm*200mm；不含帽沿（高*宽*深）：600mm*400mm*180mm；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工控配置：2P 16A空开 1个；2P 20kA 防浪涌(防雷)模块 1个；5孔导轨式插座 3个；高压接线端子 2个；接地铜排 1个；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基础配置：十字铜芯一字锁，内置两条工业导轨（280mm/80mm）,一块多孔工业挂板（360mm*160mm），一条接地铜排；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防水等级：IP65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支持壁挂、抱箍、落地等三种安装方式；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空气开关：额定电压(V) ：230/400 AC 额定电流(A)：16A 额定频率(Hz)：50/60HZ 数量：1个 （2P）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防浪涌/雷击保护器：额定电压：230V（相电压） 最大放电电流：20KA 响应时间：＜ 25ns 数量：1个（2P）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导轨式插座：额定电压：250V 额定电流：10A 数量：3个（5孔）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高压接线模块：进线范围/10-35平方；出线范围/2.5-16平方； 适用电流/100A ；导件材质/黄铜镀锡； 端口数量/1进2出； 数量：2个</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C80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21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3C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1070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D1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CA7F">
            <w:pPr>
              <w:jc w:val="left"/>
              <w:rPr>
                <w:rFonts w:hint="eastAsia" w:ascii="微软雅黑" w:hAnsi="微软雅黑" w:eastAsia="微软雅黑" w:cs="微软雅黑"/>
                <w:i w:val="0"/>
                <w:iCs w:val="0"/>
                <w:color w:val="000000"/>
                <w:sz w:val="16"/>
                <w:szCs w:val="16"/>
                <w:highlight w:val="none"/>
                <w:u w:val="none"/>
              </w:rPr>
            </w:pPr>
          </w:p>
        </w:tc>
      </w:tr>
      <w:tr w14:paraId="2ACF2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BF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484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避雷器（含支架）</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51F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避雷器</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BA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5A7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9D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A1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1810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3637">
            <w:pPr>
              <w:jc w:val="left"/>
              <w:rPr>
                <w:rFonts w:hint="eastAsia" w:ascii="微软雅黑" w:hAnsi="微软雅黑" w:eastAsia="微软雅黑" w:cs="微软雅黑"/>
                <w:i w:val="0"/>
                <w:iCs w:val="0"/>
                <w:color w:val="000000"/>
                <w:sz w:val="16"/>
                <w:szCs w:val="16"/>
                <w:highlight w:val="none"/>
                <w:u w:val="none"/>
              </w:rPr>
            </w:pPr>
          </w:p>
        </w:tc>
      </w:tr>
      <w:tr w14:paraId="42FD6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14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B4F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室外声光报警器（含支架，电源）</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422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电子围栏专用， 请不要用于其他系统。</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声光报警器（带转动）/声压≥108分贝/电流≤250毫安/（含电源和支架）</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00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DA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AD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138.5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BCB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1385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786B">
            <w:pPr>
              <w:jc w:val="left"/>
              <w:rPr>
                <w:rFonts w:hint="eastAsia" w:ascii="微软雅黑" w:hAnsi="微软雅黑" w:eastAsia="微软雅黑" w:cs="微软雅黑"/>
                <w:i w:val="0"/>
                <w:iCs w:val="0"/>
                <w:color w:val="000000"/>
                <w:sz w:val="16"/>
                <w:szCs w:val="16"/>
                <w:highlight w:val="none"/>
                <w:u w:val="none"/>
              </w:rPr>
            </w:pPr>
          </w:p>
        </w:tc>
      </w:tr>
      <w:tr w14:paraId="0C5F9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DC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DBF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四/六线通用中间杆850</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B61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4/6线通用中间杆； 材质：软性玻璃纤维；6线，口径10mm，杆长850mm</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74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11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88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B3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1472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2065">
            <w:pPr>
              <w:jc w:val="left"/>
              <w:rPr>
                <w:rFonts w:hint="eastAsia" w:ascii="微软雅黑" w:hAnsi="微软雅黑" w:eastAsia="微软雅黑" w:cs="微软雅黑"/>
                <w:i w:val="0"/>
                <w:iCs w:val="0"/>
                <w:color w:val="000000"/>
                <w:sz w:val="16"/>
                <w:szCs w:val="16"/>
                <w:highlight w:val="none"/>
                <w:u w:val="none"/>
              </w:rPr>
            </w:pPr>
          </w:p>
        </w:tc>
      </w:tr>
      <w:tr w14:paraId="5012B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FD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28C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四线中间杆附件包850</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779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4线中间杆附件包；  含中间杆帽子（口径10）1个、中间杆绝缘子4个、中间杆底座（热镀锌）1个</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E0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94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9D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3C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3248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2FF1">
            <w:pPr>
              <w:jc w:val="left"/>
              <w:rPr>
                <w:rFonts w:hint="eastAsia" w:ascii="微软雅黑" w:hAnsi="微软雅黑" w:eastAsia="微软雅黑" w:cs="微软雅黑"/>
                <w:i w:val="0"/>
                <w:iCs w:val="0"/>
                <w:color w:val="000000"/>
                <w:sz w:val="16"/>
                <w:szCs w:val="16"/>
                <w:highlight w:val="none"/>
                <w:u w:val="none"/>
              </w:rPr>
            </w:pPr>
          </w:p>
        </w:tc>
      </w:tr>
      <w:tr w14:paraId="0C4A0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61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7F7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四线承力杆附件包850</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3DC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4线承力杆经济型杆附件包；  含4个终端杆绝缘子（套管型）；1个终端杆帽子（32口径）；1个承力杆底座（热镀锌）</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62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52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96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92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460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570F">
            <w:pPr>
              <w:jc w:val="left"/>
              <w:rPr>
                <w:rFonts w:hint="eastAsia" w:ascii="微软雅黑" w:hAnsi="微软雅黑" w:eastAsia="微软雅黑" w:cs="微软雅黑"/>
                <w:i w:val="0"/>
                <w:iCs w:val="0"/>
                <w:color w:val="000000"/>
                <w:sz w:val="16"/>
                <w:szCs w:val="16"/>
                <w:highlight w:val="none"/>
                <w:u w:val="none"/>
              </w:rPr>
            </w:pPr>
          </w:p>
        </w:tc>
      </w:tr>
      <w:tr w14:paraId="58999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CAD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71D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四线终端杆附件包850</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43A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4线终端杆经济型附件包；含终端杆绝缘子（套管型）4只；终端杆帽子（32口径）1个；终端杆底座（热镀锌）1套；收紧器4个；线线连接器8个</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0D7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15A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FA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69.2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58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2629.6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662A">
            <w:pPr>
              <w:jc w:val="left"/>
              <w:rPr>
                <w:rFonts w:hint="eastAsia" w:ascii="微软雅黑" w:hAnsi="微软雅黑" w:eastAsia="微软雅黑" w:cs="微软雅黑"/>
                <w:i w:val="0"/>
                <w:iCs w:val="0"/>
                <w:color w:val="000000"/>
                <w:sz w:val="16"/>
                <w:szCs w:val="16"/>
                <w:highlight w:val="none"/>
                <w:u w:val="none"/>
              </w:rPr>
            </w:pPr>
          </w:p>
        </w:tc>
      </w:tr>
      <w:tr w14:paraId="15FD5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E0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704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四线承力/终端通用杆850</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BA3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4线经济型通用杆850；  经济型通用终端、承力杆；  4线终端杆，直径32mm,2.0mm 厚，高度：850mm；材质：铝合金管；表面处理：表面氧化；表面颜色：本色</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DC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4C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1B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46.1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AF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2673.8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CBBE">
            <w:pPr>
              <w:jc w:val="left"/>
              <w:rPr>
                <w:rFonts w:hint="eastAsia" w:ascii="微软雅黑" w:hAnsi="微软雅黑" w:eastAsia="微软雅黑" w:cs="微软雅黑"/>
                <w:i w:val="0"/>
                <w:iCs w:val="0"/>
                <w:color w:val="000000"/>
                <w:sz w:val="16"/>
                <w:szCs w:val="16"/>
                <w:highlight w:val="none"/>
                <w:u w:val="none"/>
              </w:rPr>
            </w:pPr>
          </w:p>
        </w:tc>
      </w:tr>
      <w:tr w14:paraId="3C26B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EBD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51F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20#合金线400米/盘</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1C3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20#合金线，优良导电率，抗氧化、耐腐蚀,去火功能，多股，每100米2欧姆阻值，400m一盘</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07B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34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DE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443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A5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5316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1A58">
            <w:pPr>
              <w:jc w:val="left"/>
              <w:rPr>
                <w:rFonts w:hint="eastAsia" w:ascii="微软雅黑" w:hAnsi="微软雅黑" w:eastAsia="微软雅黑" w:cs="微软雅黑"/>
                <w:i w:val="0"/>
                <w:iCs w:val="0"/>
                <w:color w:val="000000"/>
                <w:sz w:val="16"/>
                <w:szCs w:val="16"/>
                <w:highlight w:val="none"/>
                <w:u w:val="none"/>
              </w:rPr>
            </w:pPr>
          </w:p>
        </w:tc>
      </w:tr>
      <w:tr w14:paraId="66191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28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8BB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20#合金线100米/盘</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91D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20#合金线，优良导电率，抗氧化、耐腐蚀,去火功能，多股，每100米2欧姆阻值，100m一盘。</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5E4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0D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AD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323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318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5A8B">
            <w:pPr>
              <w:jc w:val="left"/>
              <w:rPr>
                <w:rFonts w:hint="eastAsia" w:ascii="微软雅黑" w:hAnsi="微软雅黑" w:eastAsia="微软雅黑" w:cs="微软雅黑"/>
                <w:i w:val="0"/>
                <w:iCs w:val="0"/>
                <w:color w:val="000000"/>
                <w:sz w:val="16"/>
                <w:szCs w:val="16"/>
                <w:highlight w:val="none"/>
                <w:u w:val="none"/>
              </w:rPr>
            </w:pPr>
          </w:p>
        </w:tc>
      </w:tr>
      <w:tr w14:paraId="338A0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A9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7A2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高压绝缘导线100m/盘</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3A1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高压绝缘导线；合金线为内芯/高压绝缘层抗脉冲电压&gt;20KV/考虑现场可能有出入口、或围墙不连续处，100米/盘</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D0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CA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CF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387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67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6374">
            <w:pPr>
              <w:jc w:val="left"/>
              <w:rPr>
                <w:rFonts w:hint="eastAsia" w:ascii="微软雅黑" w:hAnsi="微软雅黑" w:eastAsia="微软雅黑" w:cs="微软雅黑"/>
                <w:i w:val="0"/>
                <w:iCs w:val="0"/>
                <w:color w:val="000000"/>
                <w:sz w:val="16"/>
                <w:szCs w:val="16"/>
                <w:highlight w:val="none"/>
                <w:u w:val="none"/>
              </w:rPr>
            </w:pPr>
          </w:p>
        </w:tc>
      </w:tr>
      <w:tr w14:paraId="4372B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AC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751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脉冲围栏警示牌</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A95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警示牌；尺寸：100*200MM/采用稀土发光材料制造/在阴雨天气同样可吸光/双面印刷/夜光显示/每10米挂一块</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36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9A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A5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6A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B43A">
            <w:pPr>
              <w:jc w:val="left"/>
              <w:rPr>
                <w:rFonts w:hint="eastAsia" w:ascii="微软雅黑" w:hAnsi="微软雅黑" w:eastAsia="微软雅黑" w:cs="微软雅黑"/>
                <w:i w:val="0"/>
                <w:iCs w:val="0"/>
                <w:color w:val="000000"/>
                <w:sz w:val="16"/>
                <w:szCs w:val="16"/>
                <w:highlight w:val="none"/>
                <w:u w:val="none"/>
              </w:rPr>
            </w:pPr>
          </w:p>
        </w:tc>
      </w:tr>
      <w:tr w14:paraId="6E516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BD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8A4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接地桩</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EC2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电子围栏接地桩；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可用于将电子围栏主机和避雷器的接地；角钢，厚度2mm，长1.5米</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83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E1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D9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A7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1D68">
            <w:pPr>
              <w:jc w:val="left"/>
              <w:rPr>
                <w:rFonts w:hint="eastAsia" w:ascii="微软雅黑" w:hAnsi="微软雅黑" w:eastAsia="微软雅黑" w:cs="微软雅黑"/>
                <w:i w:val="0"/>
                <w:iCs w:val="0"/>
                <w:color w:val="000000"/>
                <w:sz w:val="16"/>
                <w:szCs w:val="16"/>
                <w:highlight w:val="none"/>
                <w:u w:val="none"/>
              </w:rPr>
            </w:pPr>
          </w:p>
        </w:tc>
      </w:tr>
      <w:tr w14:paraId="3A10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40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629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5米10mm²接地线</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D75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用于连接避雷器和接地桩，长为5米，10mm²的铜导线，每根接地桩配置一根</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8F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04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A8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55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3465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1CDC">
            <w:pPr>
              <w:jc w:val="left"/>
              <w:rPr>
                <w:rFonts w:hint="eastAsia" w:ascii="微软雅黑" w:hAnsi="微软雅黑" w:eastAsia="微软雅黑" w:cs="微软雅黑"/>
                <w:i w:val="0"/>
                <w:iCs w:val="0"/>
                <w:color w:val="000000"/>
                <w:sz w:val="16"/>
                <w:szCs w:val="16"/>
                <w:highlight w:val="none"/>
                <w:u w:val="none"/>
              </w:rPr>
            </w:pPr>
          </w:p>
        </w:tc>
      </w:tr>
      <w:tr w14:paraId="2BDD7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BB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905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扩展模块</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014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1、设备类型：声光警号（声光报警器）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2、警灯颜色：红色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3、报警音量：105dB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4、硬件接口：红/黑线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5、使用环境：室内/外（IP54室外防水）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6、外壳材质：PC+ABS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8、工作电源：DC12V/220mA（宽压8-16V DC）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9、工作温度：-20 °C 至 60 °C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10、工作湿度：10% 至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11、产品尺寸：140*134*33mm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【产品功能】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1、声光报警：提供警灯闪烁和报警音频输出，用于提示警情处置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2、模式切换：支持关闭报警音频输出，仅提供警灯闪烁模式输出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3、内置水平仪：可通过内置水平仪调节安装角度，方便调试安装</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8C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7F6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0B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D9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B971">
            <w:pPr>
              <w:jc w:val="left"/>
              <w:rPr>
                <w:rFonts w:hint="eastAsia" w:ascii="微软雅黑" w:hAnsi="微软雅黑" w:eastAsia="微软雅黑" w:cs="微软雅黑"/>
                <w:i w:val="0"/>
                <w:iCs w:val="0"/>
                <w:color w:val="000000"/>
                <w:sz w:val="16"/>
                <w:szCs w:val="16"/>
                <w:highlight w:val="none"/>
                <w:u w:val="none"/>
              </w:rPr>
            </w:pPr>
          </w:p>
        </w:tc>
      </w:tr>
      <w:tr w14:paraId="0A6BB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A2E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96F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混合报警主机</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58D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1、操作系统：嵌入式Linux操作系统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2、防区数量：支持通过网络和RS485方式接入电子围栏、张力围栏（其中RS485扩展上限为64路，网络扩展上限为256路）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3、继电器数量：板载4路（距离50m以内），可通过继电器模块扩展至64路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4、日志容量：5000条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5、传输距离：网络传输无限制（局域网可达），RS485传输800米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6、硬件接口：RS485*1、RJ45*1，PSTN接口*1，4G模块接口*1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7、安装方式：壁挂安装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8、供电方式：AC220V（自带电源适配器）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9、设备功耗：裸机功耗≤5W，满载功耗≤25W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10、工作温度：–10℃～+55℃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11、工作湿度：10％--90％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12、使用环境：室内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13、产品尺寸：351.4*261.4*92.3mm（长*宽*厚）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【功能特性】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1、防区报警：支持探测器/紧急报警装置触发信号接收，进行入侵/紧急报警事件管理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2、断电报警：当市电断电时，设备可通过蓄电池正常工作8小时以上（需选配蓄电池），并将断电事件进行通知上报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3、外接键盘：支持9个报警键盘接入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4、报警管理：支持报警键盘、WEB、客户端软件、中心平台进行报警管理操作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5、报警指示：支持报警键盘、警号、继电器联动、中心平台上报等报警事件指示功能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6、联动控制：支持报警事件联动，平台控制继电器输出，实现场景化联动输出，实现个性化管理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8、事件上传：支持断网续传功能，设备离线状态下产生事件在与平台连接后会重新上传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9、子系统管理：支持32个子系统，实现对防区进行分区管理，支持外出布防、在家布防、撤防、消警、旁路等功能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10、防区设置：支持即时防区、延时防区、紧急防区、超时防区等场景化防区类型设置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11、配置管理：支持配置文件导出和导入功能，实现参数备份和快速移机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12、视频联动：支持关联4路视频，报警时自动截取7S事前和事后视频，推送至APP和发送邮件</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2E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5F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64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1338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2C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1338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204C">
            <w:pPr>
              <w:jc w:val="left"/>
              <w:rPr>
                <w:rFonts w:hint="eastAsia" w:ascii="微软雅黑" w:hAnsi="微软雅黑" w:eastAsia="微软雅黑" w:cs="微软雅黑"/>
                <w:i w:val="0"/>
                <w:iCs w:val="0"/>
                <w:color w:val="000000"/>
                <w:sz w:val="16"/>
                <w:szCs w:val="16"/>
                <w:highlight w:val="none"/>
                <w:u w:val="none"/>
              </w:rPr>
            </w:pPr>
          </w:p>
        </w:tc>
      </w:tr>
      <w:tr w14:paraId="7A300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8"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81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19</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547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键盘及其他</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31D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1、设备类型：混合报警主机专用控制键盘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2、通讯协议：RS485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3、传输距离：800m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4、使用环境：室内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5、显示屏：LCD（尺寸80X25mm）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6、操作按键：20个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7、指示灯：5个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8、蜂鸣器：支持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10、工作电源：DC12V/150mA（宽压9-16V DC）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11、工作温度：-10 °C 至 55 °C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12、工作湿度：10% 至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13、产品尺寸：150mm(长)*115mm(宽)*27mm(高)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【产品功能】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1、操作指令接收：支持对报警系统进行布防、撤防、消警、旁路、旁路恢复、紧急求助等操作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2、操作方式管理：支持密码、遥控器、刷卡方式对报警系统进行操作指令交互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3、报警状态指示：支持对报警系统防区报警状态进行实时指示，包括指示灯变化，提示音变化，文字内容变化等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4、系统状态展示：支持对报警系统运行状态进行展示，包括主电源状态、蓄电池状态、防拆状态、子系统布撤防状态，防区状态、扩展模块状态等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5、胁迫码功能：支持通过胁迫密码进行布撤防管理，并将警情进行中心上报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6、防区名称自定义：支持防区名称自定义配置，在键盘屏幕中展示对应文字内容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7、配置管理：支持通过键盘对报警主机进行参数配置，包括密码修改、防区类型配置、上报中心参数配置等</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DD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EA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3D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AB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E22F">
            <w:pPr>
              <w:jc w:val="left"/>
              <w:rPr>
                <w:rFonts w:hint="eastAsia" w:ascii="微软雅黑" w:hAnsi="微软雅黑" w:eastAsia="微软雅黑" w:cs="微软雅黑"/>
                <w:i w:val="0"/>
                <w:iCs w:val="0"/>
                <w:color w:val="000000"/>
                <w:sz w:val="16"/>
                <w:szCs w:val="16"/>
                <w:highlight w:val="none"/>
                <w:u w:val="none"/>
              </w:rPr>
            </w:pPr>
          </w:p>
        </w:tc>
      </w:tr>
      <w:tr w14:paraId="32021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4D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B9D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PVC阻燃穿线管</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BAB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PVC穿线管</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34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5D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1450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EF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60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3915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CED8">
            <w:pPr>
              <w:jc w:val="left"/>
              <w:rPr>
                <w:rFonts w:hint="eastAsia" w:ascii="微软雅黑" w:hAnsi="微软雅黑" w:eastAsia="微软雅黑" w:cs="微软雅黑"/>
                <w:i w:val="0"/>
                <w:iCs w:val="0"/>
                <w:color w:val="000000"/>
                <w:sz w:val="16"/>
                <w:szCs w:val="16"/>
                <w:highlight w:val="none"/>
                <w:u w:val="none"/>
              </w:rPr>
            </w:pPr>
          </w:p>
        </w:tc>
      </w:tr>
      <w:tr w14:paraId="06FE0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B2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0F5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室外铠装光纤</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75D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8芯室外铠装单模光纤</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4B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2D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80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21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3300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C79D">
            <w:pPr>
              <w:jc w:val="left"/>
              <w:rPr>
                <w:rFonts w:hint="eastAsia" w:ascii="微软雅黑" w:hAnsi="微软雅黑" w:eastAsia="微软雅黑" w:cs="微软雅黑"/>
                <w:i w:val="0"/>
                <w:iCs w:val="0"/>
                <w:color w:val="000000"/>
                <w:sz w:val="16"/>
                <w:szCs w:val="16"/>
                <w:highlight w:val="none"/>
                <w:u w:val="none"/>
              </w:rPr>
            </w:pPr>
          </w:p>
        </w:tc>
      </w:tr>
      <w:tr w14:paraId="78135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F41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3FC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室外光纤盒</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149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4芯光纤盒</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19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C2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49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DB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380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B1C4">
            <w:pPr>
              <w:jc w:val="left"/>
              <w:rPr>
                <w:rFonts w:hint="eastAsia" w:ascii="微软雅黑" w:hAnsi="微软雅黑" w:eastAsia="微软雅黑" w:cs="微软雅黑"/>
                <w:i w:val="0"/>
                <w:iCs w:val="0"/>
                <w:color w:val="000000"/>
                <w:sz w:val="16"/>
                <w:szCs w:val="16"/>
                <w:highlight w:val="none"/>
                <w:u w:val="none"/>
              </w:rPr>
            </w:pPr>
          </w:p>
        </w:tc>
      </w:tr>
      <w:tr w14:paraId="13E05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DF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2BF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机架式光纤盒</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3C8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24芯机架式光纤盒</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D2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CD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81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F7C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2638">
            <w:pPr>
              <w:jc w:val="left"/>
              <w:rPr>
                <w:rFonts w:hint="eastAsia" w:ascii="微软雅黑" w:hAnsi="微软雅黑" w:eastAsia="微软雅黑" w:cs="微软雅黑"/>
                <w:i w:val="0"/>
                <w:iCs w:val="0"/>
                <w:color w:val="000000"/>
                <w:sz w:val="16"/>
                <w:szCs w:val="16"/>
                <w:highlight w:val="none"/>
                <w:u w:val="none"/>
              </w:rPr>
            </w:pPr>
          </w:p>
        </w:tc>
      </w:tr>
      <w:tr w14:paraId="7044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13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0BC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光纤跳线</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814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SC 接口单模光纤 3米</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EE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条</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7F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51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0F5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B6C2">
            <w:pPr>
              <w:jc w:val="left"/>
              <w:rPr>
                <w:rFonts w:hint="eastAsia" w:ascii="微软雅黑" w:hAnsi="微软雅黑" w:eastAsia="微软雅黑" w:cs="微软雅黑"/>
                <w:i w:val="0"/>
                <w:iCs w:val="0"/>
                <w:color w:val="000000"/>
                <w:sz w:val="16"/>
                <w:szCs w:val="16"/>
                <w:highlight w:val="none"/>
                <w:u w:val="none"/>
              </w:rPr>
            </w:pPr>
          </w:p>
        </w:tc>
      </w:tr>
      <w:tr w14:paraId="17656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E9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25</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4F2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耦合器</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F93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SC</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E3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37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B7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9A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6AA4">
            <w:pPr>
              <w:jc w:val="left"/>
              <w:rPr>
                <w:rFonts w:hint="eastAsia" w:ascii="微软雅黑" w:hAnsi="微软雅黑" w:eastAsia="微软雅黑" w:cs="微软雅黑"/>
                <w:i w:val="0"/>
                <w:iCs w:val="0"/>
                <w:color w:val="000000"/>
                <w:sz w:val="16"/>
                <w:szCs w:val="16"/>
                <w:highlight w:val="none"/>
                <w:u w:val="none"/>
              </w:rPr>
            </w:pPr>
          </w:p>
        </w:tc>
      </w:tr>
      <w:tr w14:paraId="1DCE0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BE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26</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ABC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光纤熔接</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C4C1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光纤熔接及测试</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810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52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743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B4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960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390E">
            <w:pPr>
              <w:jc w:val="left"/>
              <w:rPr>
                <w:rFonts w:hint="eastAsia" w:ascii="微软雅黑" w:hAnsi="微软雅黑" w:eastAsia="微软雅黑" w:cs="微软雅黑"/>
                <w:i w:val="0"/>
                <w:iCs w:val="0"/>
                <w:color w:val="000000"/>
                <w:sz w:val="16"/>
                <w:szCs w:val="16"/>
                <w:highlight w:val="none"/>
                <w:u w:val="none"/>
              </w:rPr>
            </w:pPr>
          </w:p>
        </w:tc>
      </w:tr>
      <w:tr w14:paraId="7B8DB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FD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27</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189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电源线</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3CF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国标RVV 2*2.5 </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36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53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1600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47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01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12960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F7B8">
            <w:pPr>
              <w:jc w:val="left"/>
              <w:rPr>
                <w:rFonts w:hint="eastAsia" w:ascii="微软雅黑" w:hAnsi="微软雅黑" w:eastAsia="微软雅黑" w:cs="微软雅黑"/>
                <w:i w:val="0"/>
                <w:iCs w:val="0"/>
                <w:color w:val="000000"/>
                <w:sz w:val="16"/>
                <w:szCs w:val="16"/>
                <w:highlight w:val="none"/>
                <w:u w:val="none"/>
              </w:rPr>
            </w:pPr>
          </w:p>
        </w:tc>
      </w:tr>
      <w:tr w14:paraId="4CEDB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3D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28</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697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KBG穿线管</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6AD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Ø25镀锌穿线管；直通；</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10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914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C3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08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1380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86BD">
            <w:pPr>
              <w:jc w:val="left"/>
              <w:rPr>
                <w:rFonts w:hint="eastAsia" w:ascii="微软雅黑" w:hAnsi="微软雅黑" w:eastAsia="微软雅黑" w:cs="微软雅黑"/>
                <w:i w:val="0"/>
                <w:iCs w:val="0"/>
                <w:color w:val="000000"/>
                <w:sz w:val="16"/>
                <w:szCs w:val="16"/>
                <w:highlight w:val="none"/>
                <w:u w:val="none"/>
              </w:rPr>
            </w:pPr>
          </w:p>
        </w:tc>
      </w:tr>
      <w:tr w14:paraId="5B67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7F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29</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C85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PP阻燃波纹管</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C21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PP阻燃波纹管 耐酸碱，耐腐蚀，耐老化</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75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C91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CD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32A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0A65">
            <w:pPr>
              <w:jc w:val="left"/>
              <w:rPr>
                <w:rFonts w:hint="eastAsia" w:ascii="微软雅黑" w:hAnsi="微软雅黑" w:eastAsia="微软雅黑" w:cs="微软雅黑"/>
                <w:i w:val="0"/>
                <w:iCs w:val="0"/>
                <w:color w:val="000000"/>
                <w:sz w:val="16"/>
                <w:szCs w:val="16"/>
                <w:highlight w:val="none"/>
                <w:u w:val="none"/>
              </w:rPr>
            </w:pPr>
          </w:p>
        </w:tc>
      </w:tr>
      <w:tr w14:paraId="4CD0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2"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9D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D9F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93A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00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8B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3C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A5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B950">
            <w:pPr>
              <w:jc w:val="left"/>
              <w:rPr>
                <w:rFonts w:hint="eastAsia" w:ascii="微软雅黑" w:hAnsi="微软雅黑" w:eastAsia="微软雅黑" w:cs="微软雅黑"/>
                <w:i w:val="0"/>
                <w:iCs w:val="0"/>
                <w:color w:val="000000"/>
                <w:sz w:val="16"/>
                <w:szCs w:val="16"/>
                <w:highlight w:val="none"/>
                <w:u w:val="none"/>
              </w:rPr>
            </w:pPr>
          </w:p>
        </w:tc>
      </w:tr>
      <w:tr w14:paraId="69398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42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31</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DC0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光纤收发器机架</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975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插槽数：16槽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电源输入：AC100～260V，50～60HZ</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直流输出：DC5V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纹波：≤50mv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噪音：≤50mv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电源保护：过压保护，过流保护，短路保护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工作温度：0～50℃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储存温度：-20℃～70℃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相对湿度：5%～95%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外型尺寸： 490*245*93mm（长×宽×高）</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76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52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17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369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31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369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3500">
            <w:pPr>
              <w:jc w:val="left"/>
              <w:rPr>
                <w:rFonts w:hint="eastAsia" w:ascii="微软雅黑" w:hAnsi="微软雅黑" w:eastAsia="微软雅黑" w:cs="微软雅黑"/>
                <w:i w:val="0"/>
                <w:iCs w:val="0"/>
                <w:color w:val="000000"/>
                <w:sz w:val="16"/>
                <w:szCs w:val="16"/>
                <w:highlight w:val="none"/>
                <w:u w:val="none"/>
              </w:rPr>
            </w:pPr>
          </w:p>
        </w:tc>
      </w:tr>
      <w:tr w14:paraId="6D4BC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77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32</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FD1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EAF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43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CEA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94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6460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F9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6460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86A0">
            <w:pPr>
              <w:jc w:val="center"/>
              <w:rPr>
                <w:rFonts w:hint="eastAsia" w:ascii="微软雅黑" w:hAnsi="微软雅黑" w:eastAsia="微软雅黑" w:cs="微软雅黑"/>
                <w:i w:val="0"/>
                <w:iCs w:val="0"/>
                <w:color w:val="000000"/>
                <w:sz w:val="16"/>
                <w:szCs w:val="16"/>
                <w:highlight w:val="none"/>
                <w:u w:val="none"/>
              </w:rPr>
            </w:pPr>
          </w:p>
        </w:tc>
      </w:tr>
      <w:tr w14:paraId="63D44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D2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33</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0CF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339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F4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A2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D30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48800</w:t>
            </w:r>
          </w:p>
        </w:tc>
        <w:tc>
          <w:tcPr>
            <w:tcW w:w="800" w:type="dxa"/>
            <w:tcBorders>
              <w:top w:val="single" w:color="000000" w:sz="4" w:space="0"/>
              <w:left w:val="single" w:color="000000" w:sz="4" w:space="0"/>
              <w:bottom w:val="single" w:color="auto" w:sz="4" w:space="0"/>
              <w:right w:val="single" w:color="000000" w:sz="4" w:space="0"/>
            </w:tcBorders>
            <w:shd w:val="clear" w:color="auto" w:fill="auto"/>
            <w:vAlign w:val="center"/>
          </w:tcPr>
          <w:p w14:paraId="0853A9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48800</w:t>
            </w:r>
          </w:p>
        </w:tc>
        <w:tc>
          <w:tcPr>
            <w:tcW w:w="918" w:type="dxa"/>
            <w:tcBorders>
              <w:top w:val="single" w:color="000000" w:sz="4" w:space="0"/>
              <w:left w:val="single" w:color="000000" w:sz="4" w:space="0"/>
              <w:bottom w:val="single" w:color="auto" w:sz="4" w:space="0"/>
              <w:right w:val="single" w:color="000000" w:sz="4" w:space="0"/>
            </w:tcBorders>
            <w:shd w:val="clear" w:color="auto" w:fill="auto"/>
            <w:vAlign w:val="center"/>
          </w:tcPr>
          <w:p w14:paraId="14A6C91E">
            <w:pPr>
              <w:jc w:val="center"/>
              <w:rPr>
                <w:rFonts w:hint="eastAsia" w:ascii="微软雅黑" w:hAnsi="微软雅黑" w:eastAsia="微软雅黑" w:cs="微软雅黑"/>
                <w:i w:val="0"/>
                <w:iCs w:val="0"/>
                <w:color w:val="000000"/>
                <w:sz w:val="16"/>
                <w:szCs w:val="16"/>
                <w:highlight w:val="none"/>
                <w:u w:val="none"/>
              </w:rPr>
            </w:pPr>
          </w:p>
        </w:tc>
      </w:tr>
      <w:tr w14:paraId="621F6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FF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34</w:t>
            </w:r>
          </w:p>
        </w:tc>
        <w:tc>
          <w:tcPr>
            <w:tcW w:w="8517" w:type="dxa"/>
            <w:gridSpan w:val="5"/>
            <w:tcBorders>
              <w:top w:val="single" w:color="000000" w:sz="4" w:space="0"/>
              <w:left w:val="nil"/>
              <w:bottom w:val="single" w:color="000000" w:sz="4" w:space="0"/>
              <w:right w:val="single" w:color="auto" w:sz="4" w:space="0"/>
            </w:tcBorders>
            <w:shd w:val="clear" w:color="auto" w:fill="auto"/>
            <w:vAlign w:val="center"/>
          </w:tcPr>
          <w:p w14:paraId="5FBC87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小计</w:t>
            </w:r>
          </w:p>
        </w:tc>
        <w:tc>
          <w:tcPr>
            <w:tcW w:w="1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70F522">
            <w:pPr>
              <w:jc w:val="left"/>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133170.4</w:t>
            </w:r>
          </w:p>
        </w:tc>
      </w:tr>
      <w:tr w14:paraId="000C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nil"/>
              <w:right w:val="single" w:color="000000" w:sz="4" w:space="0"/>
            </w:tcBorders>
            <w:shd w:val="clear" w:color="auto" w:fill="auto"/>
            <w:vAlign w:val="center"/>
          </w:tcPr>
          <w:p w14:paraId="0B0A4D0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二</w:t>
            </w:r>
          </w:p>
        </w:tc>
        <w:tc>
          <w:tcPr>
            <w:tcW w:w="9317" w:type="dxa"/>
            <w:gridSpan w:val="6"/>
            <w:tcBorders>
              <w:top w:val="nil"/>
              <w:left w:val="nil"/>
              <w:bottom w:val="nil"/>
              <w:right w:val="nil"/>
            </w:tcBorders>
            <w:shd w:val="clear" w:color="auto" w:fill="auto"/>
            <w:vAlign w:val="center"/>
          </w:tcPr>
          <w:p w14:paraId="270ABC9D">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周界摄像头</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F258">
            <w:pPr>
              <w:jc w:val="left"/>
              <w:rPr>
                <w:rFonts w:hint="eastAsia" w:ascii="微软雅黑" w:hAnsi="微软雅黑" w:eastAsia="微软雅黑" w:cs="微软雅黑"/>
                <w:i w:val="0"/>
                <w:iCs w:val="0"/>
                <w:color w:val="000000"/>
                <w:sz w:val="16"/>
                <w:szCs w:val="16"/>
                <w:highlight w:val="none"/>
                <w:u w:val="none"/>
              </w:rPr>
            </w:pPr>
          </w:p>
        </w:tc>
      </w:tr>
      <w:tr w14:paraId="54A0E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B8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5C3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周界网络摄像机</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C44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7T轻智能筒型摄像机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F1.0超大光圈镜头，日夜臻全彩成像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采用深度学习算法，以海量图片及视频资源为路基，通过机器自身提取目标特征，形成深层可供学习的图像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支持智能资源模式切换：人脸抓拍（默认），smart事件，热度图，人数统计，道路监控，普通监控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鳞镜补光：采用隐藏式灯珠设计，通过鳞甲密布排列形成的镜面反射出光，见光不见灯；增加发光面积，降低聚光效果，补光柔和均匀</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Smart录像：支持断网续传功能保证录像不丢失，配合Smart NVR/SD卡实现事件录像的智能后检索、分析和浓缩播放，Smart编码：支持低码率、低延时、ROI感兴趣区域增强编码、SVC自适应编码技术，支持Smart265编码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系统功能：支持开放型网络视频接口、ISAPI、GB/T28181和OTAP；支持三码流技术，支持同时20路取流；支持萤石平台接入</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宽动态：支持宽动态范围达120 dB，适合逆光环境监控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图像相关：支持400万像素@60 fps实时帧率，图像更流畅；支持透雾，电子防抖，并具有多种白平衡模式，适合各种场景需求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安全服务：支持三级用户权限管理，支持授权的用户和密码，支持IP地址过滤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接口功能：内置MicroSD/MicroSDHC/MicroSDXC插槽，最大支持512 GB；支持10 M/100 M自适应网口；支持一对报警输入输出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人数统计模式：a)人员统计：支持实时报警，人数变化报警和拥堵等级变化报警，并支持人数异常和停留时间异常报警，b)异常行为检测：支持离岗检测，以及在离岗检测报警，c)区域关注度：支持区域人数检测、停留时长检测、实时数据上传，并支持区域人数分析和队列状态分析展示，d)热度图：支持设备上报和平台查询方式获取信息，并支持上报伪彩图背景大图</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道路监控模式：a)车辆检测：支持车牌识别并抓拍，车牌号码/车身颜色/车辆类型/车辆品牌，b)混行检测：检测正向或逆向行驶的车辆以及行人和非机动车，自动对车辆牌照进行识别，可以抓拍无车牌的车辆图片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事件模式：越界侦测，区域入侵侦测，进入/离开区域侦测，徘徊侦测，人员聚集侦测，快速运动侦测，停车侦测，物品遗留/拿取侦测，场景变更侦测，音频陡升/陡降侦测，音频有无侦测，虚焦侦测。其中越界侦测，区域入侵侦测，进入/离开区域侦测为深度学习算法，支持联动声光预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人脸抓拍模式：a)支持对运动人脸进行检测、抓拍、评分、筛选，输出优选的人脸，b)支持人脸去误报、快速抓拍人脸，c)支持快速抓拍和优选抓拍两种模式，d)最多同时检测30张人脸，e)支持人脸去重</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支持电量检测：支持设备功耗检测，支持设备功耗报表展示，报表类型支持日报表和周报表（默认日报表，单位瓦时（W·h））</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传感器类型：1/1.8" Progressive Scan CMOS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最低照度：彩色：0.0005 Lux @（F1.0，AGC ON），0 Lux with Light</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宽动态：120 dB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焦距&amp;视场角：2.8~4 mm：水平视场角：110.0°~70.7°，垂直视场角：59.3°~39.2°，对角视场角：130.6°~81.8°</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4~6 mm：水平视场角：92.9°~56.1°，垂直视场角：46.4°~30.2°，对角视场角：112.7°~65.8°</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6~9 mm：水平视场角：57.4°~36.3°，垂直视场角：30.4°~19.8°，对角视场角：67.4°~42.2°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补光灯类型：鳞镜补光，暖白光，4颗灯珠</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补光距离：白光：普通监控：最远可达30 m，人脸抓拍/识别：最远可达5 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防补光过曝：支持防补光过曝开启和关闭，开启下支持自动和手动，手动支持根据距离等级控制补光灯亮度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最大图像尺寸：2560 × 1440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视频压缩标准：H.265/H.264/MJPEG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网络：1个RJ45 10 M/100 M自适应以太网口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SD卡扩展：内置MicroSD/MicroSDHC/MicroSDXC 插槽，最大支持512GB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音频：1路输入（Line in），1路输出（Line out），2个内置麦克风，1个内置扬声器</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报警：1路输入，1路输出（报警输入支持开关量，报警输出最大支持DC12 V，30 mA）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复位：支持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电源输出：DC12 V，100 mA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接口类型：外甩线</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RS-485：1个RS-485接口，半双工模式，支持自适应HIKVISION，PELCO-P和PELCO-D协议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产品尺寸：180.3 × 99.2 × 94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包装尺寸：315 × 137 × 141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设备重量：750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带包装重量：1080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存储温湿度：-30 ℃~60 ℃，湿度小于95%（无凝结）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启动和工作温湿度：-30 ℃~60 ℃，湿度小于95%（无凝结）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电流及功耗：DC：12 V，1.5 A，最大功耗：18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PoE：802.3at，42.5 V~57 V，0.49 A~0.36 A，最大功耗：20.6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供电方式：DC：12 V ± 20%，支持防反接保护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PoE：802.3at，Type 2，Class 4</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电源接口类型：3芯电源接口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线缆长度：35 cm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防护：IP67 </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5C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9D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7F7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C6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A01F">
            <w:pPr>
              <w:keepNext w:val="0"/>
              <w:keepLines w:val="0"/>
              <w:widowControl/>
              <w:suppressLineNumbers w:val="0"/>
              <w:jc w:val="left"/>
              <w:textAlignment w:val="center"/>
              <w:rPr>
                <w:rFonts w:hint="eastAsia" w:ascii="微软雅黑" w:hAnsi="微软雅黑" w:eastAsia="微软雅黑" w:cs="微软雅黑"/>
                <w:b/>
                <w:bCs/>
                <w:i w:val="0"/>
                <w:iCs w:val="0"/>
                <w:color w:val="FF0000"/>
                <w:sz w:val="16"/>
                <w:szCs w:val="16"/>
                <w:highlight w:val="none"/>
                <w:u w:val="none"/>
              </w:rPr>
            </w:pPr>
            <w:r>
              <w:rPr>
                <w:rFonts w:hint="eastAsia" w:ascii="微软雅黑" w:hAnsi="微软雅黑" w:eastAsia="微软雅黑" w:cs="微软雅黑"/>
                <w:b/>
                <w:bCs/>
                <w:i w:val="0"/>
                <w:iCs w:val="0"/>
                <w:snapToGrid w:val="0"/>
                <w:color w:val="000000"/>
                <w:kern w:val="0"/>
                <w:sz w:val="16"/>
                <w:szCs w:val="16"/>
                <w:highlight w:val="none"/>
                <w:u w:val="none"/>
                <w:lang w:val="en-US" w:eastAsia="zh-CN" w:bidi="ar"/>
              </w:rPr>
              <w:t>此项由甲方集采，乙方安装</w:t>
            </w:r>
          </w:p>
        </w:tc>
      </w:tr>
      <w:tr w14:paraId="1668B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8"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10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D12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硬盘</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06C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10TB容量，3.5英寸，SATA3.0接口，5400RPM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空气盘， CMR传统磁记录</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传输速率215MB/s，流畅存储视频有效防止丢帧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高级格式（AF）512e扇区技术，保障硬盘扇区4K对齐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满足数据严苛的7*24小时运行可靠性、安全性的需求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支持3年有限质保服务</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适用海拔高度范围-305m至3050m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标称容量：10TB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外形规格：3.5-inch</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接口类型：SATA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刻录技术：CMR</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转速：5400RPM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缓存：256MB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最大读取速度：215MB/s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接口传输速率（最大值）：6.0Gb/s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平均读写功率（W）：5.3W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加载/卸载周期：600,000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MTBF：1,000,000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年负荷（TB/年）：180TB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工作状态温度(°C)：0-65℃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尺寸：147mm(L)×101.6mm(W)×26.1mm(H) </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E1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40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D1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4130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68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24780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875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40路监控保存90天，需要123T，开启smart265需要82TB；现有10T*3，需要新增52TB，可使用10T*6；共计90TB</w:t>
            </w:r>
          </w:p>
        </w:tc>
      </w:tr>
      <w:tr w14:paraId="4369F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9A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A5A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管理服务器</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988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标准机架式2U服务器,CPU≥16核,内存≥32G，硬盘大于等于4T，4个干兆电口，2个万兆光口(含多模光模块)，集成IPMI管理模块，前置12个3.5”热插拔SAS/SATA盘位，冗余电源</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A6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FF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EE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31000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FE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31000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832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用于运行智慧安防平台和原有的IVMS4200平台</w:t>
            </w:r>
          </w:p>
        </w:tc>
      </w:tr>
      <w:tr w14:paraId="053C8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B1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E40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壁装监控立杆</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F88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L型壁装监控立杆 ；双枪支架</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A2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88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3F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99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2873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8E21">
            <w:pPr>
              <w:jc w:val="left"/>
              <w:rPr>
                <w:rFonts w:hint="eastAsia" w:ascii="微软雅黑" w:hAnsi="微软雅黑" w:eastAsia="微软雅黑" w:cs="微软雅黑"/>
                <w:i w:val="0"/>
                <w:iCs w:val="0"/>
                <w:color w:val="000000"/>
                <w:sz w:val="16"/>
                <w:szCs w:val="16"/>
                <w:highlight w:val="none"/>
                <w:u w:val="none"/>
              </w:rPr>
            </w:pPr>
          </w:p>
        </w:tc>
      </w:tr>
      <w:tr w14:paraId="4239C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56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EF2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室外防水箱</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6F7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漏电保护器*3；插牌；开关电源；防雷器；· 工控配置：2P 16A空开 1个；2P 20kA 防浪涌(防雷)模块 1个；5孔导轨式插座 3个；高压接线端子 2个；接地铜排 1个；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基础配置：十字铜芯一字锁，内置两条工业导轨（280mm/80mm）,一块多孔工业挂板（360mm*160mm），一条接地铜排；</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防水等级：IP65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支持壁挂、抱箍、落地等三种安装方式；</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D8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3E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37A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1153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03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8071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6A62">
            <w:pPr>
              <w:jc w:val="left"/>
              <w:rPr>
                <w:rFonts w:hint="eastAsia" w:ascii="微软雅黑" w:hAnsi="微软雅黑" w:eastAsia="微软雅黑" w:cs="微软雅黑"/>
                <w:i w:val="0"/>
                <w:iCs w:val="0"/>
                <w:color w:val="000000"/>
                <w:sz w:val="16"/>
                <w:szCs w:val="16"/>
                <w:highlight w:val="none"/>
                <w:u w:val="none"/>
              </w:rPr>
            </w:pPr>
          </w:p>
        </w:tc>
      </w:tr>
      <w:tr w14:paraId="0912F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BA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060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非屏蔽网线</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F57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国标 超五类非屏蔽网线</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83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箱</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78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ED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760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2E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8360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D5CE">
            <w:pPr>
              <w:jc w:val="left"/>
              <w:rPr>
                <w:rFonts w:hint="eastAsia" w:ascii="微软雅黑" w:hAnsi="微软雅黑" w:eastAsia="微软雅黑" w:cs="微软雅黑"/>
                <w:i w:val="0"/>
                <w:iCs w:val="0"/>
                <w:color w:val="000000"/>
                <w:sz w:val="16"/>
                <w:szCs w:val="16"/>
                <w:highlight w:val="none"/>
                <w:u w:val="none"/>
              </w:rPr>
            </w:pPr>
          </w:p>
        </w:tc>
      </w:tr>
      <w:tr w14:paraId="67771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07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1DA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8口POE接入交换机</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05F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个10/100/1000Mbps电口（支持PoE/PoE+），1个10/100/1000Mbps电口。整机POE最大输出功率120W，支持端口状态显示、端口流量统计、PoE端口输出功率状态、端口双工/协商速率配置、流控配置、PoE输出开关，支持广播风暴抑制、端口限速、端口隔离，支持端口镜像、环路保护、线缆检测支持EWEB/APP/MACC管理</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7C3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9A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B4B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4C3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4075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C40E">
            <w:pPr>
              <w:jc w:val="left"/>
              <w:rPr>
                <w:rFonts w:hint="eastAsia" w:ascii="微软雅黑" w:hAnsi="微软雅黑" w:eastAsia="微软雅黑" w:cs="微软雅黑"/>
                <w:i w:val="0"/>
                <w:iCs w:val="0"/>
                <w:color w:val="000000"/>
                <w:sz w:val="16"/>
                <w:szCs w:val="16"/>
                <w:highlight w:val="none"/>
                <w:u w:val="none"/>
              </w:rPr>
            </w:pPr>
          </w:p>
        </w:tc>
      </w:tr>
      <w:tr w14:paraId="6C0D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02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840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4口POE交换机</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EFE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个10/100/1000Mbps电口（支持PoE/PoE+），1个10/100/1000Mbps电口。整机POE最大输出功率54W，支持端口状态显示、端口流量统计、PoE端口输出功率状态、端口双工/协商速率配置、流控配置、PoE输出开关，支持广播风暴抑制、端口限速、端口隔离，支持端口镜像、环路保护、线缆检测，支持EWEB/APP/MACC管理。</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35B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C8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3C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586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7C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1758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C946">
            <w:pPr>
              <w:jc w:val="left"/>
              <w:rPr>
                <w:rFonts w:hint="eastAsia" w:ascii="微软雅黑" w:hAnsi="微软雅黑" w:eastAsia="微软雅黑" w:cs="微软雅黑"/>
                <w:i w:val="0"/>
                <w:iCs w:val="0"/>
                <w:color w:val="000000"/>
                <w:sz w:val="16"/>
                <w:szCs w:val="16"/>
                <w:highlight w:val="none"/>
                <w:u w:val="none"/>
              </w:rPr>
            </w:pPr>
          </w:p>
        </w:tc>
      </w:tr>
      <w:tr w14:paraId="0C032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1"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92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4A4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0B5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76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CD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EB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DF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B613">
            <w:pPr>
              <w:jc w:val="left"/>
              <w:rPr>
                <w:rFonts w:hint="eastAsia" w:ascii="微软雅黑" w:hAnsi="微软雅黑" w:eastAsia="微软雅黑" w:cs="微软雅黑"/>
                <w:i w:val="0"/>
                <w:iCs w:val="0"/>
                <w:color w:val="000000"/>
                <w:sz w:val="16"/>
                <w:szCs w:val="16"/>
                <w:highlight w:val="none"/>
                <w:u w:val="none"/>
              </w:rPr>
            </w:pPr>
          </w:p>
        </w:tc>
      </w:tr>
      <w:tr w14:paraId="7EAB4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3B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E11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E4C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FB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70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4B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3500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219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3500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FA12">
            <w:pPr>
              <w:jc w:val="center"/>
              <w:rPr>
                <w:rFonts w:hint="eastAsia" w:ascii="微软雅黑" w:hAnsi="微软雅黑" w:eastAsia="微软雅黑" w:cs="微软雅黑"/>
                <w:i w:val="0"/>
                <w:iCs w:val="0"/>
                <w:color w:val="000000"/>
                <w:sz w:val="16"/>
                <w:szCs w:val="16"/>
                <w:highlight w:val="none"/>
                <w:u w:val="none"/>
              </w:rPr>
            </w:pPr>
          </w:p>
        </w:tc>
      </w:tr>
      <w:tr w14:paraId="63E54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00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C7C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5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3A6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F53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032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37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15900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CB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15900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E120">
            <w:pPr>
              <w:jc w:val="center"/>
              <w:rPr>
                <w:rFonts w:hint="eastAsia" w:ascii="微软雅黑" w:hAnsi="微软雅黑" w:eastAsia="微软雅黑" w:cs="微软雅黑"/>
                <w:i w:val="0"/>
                <w:iCs w:val="0"/>
                <w:color w:val="000000"/>
                <w:sz w:val="16"/>
                <w:szCs w:val="16"/>
                <w:highlight w:val="none"/>
                <w:u w:val="none"/>
              </w:rPr>
            </w:pPr>
          </w:p>
        </w:tc>
      </w:tr>
      <w:tr w14:paraId="21913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8A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85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EA09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小计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B21B">
            <w:pPr>
              <w:keepNext w:val="0"/>
              <w:keepLines w:val="0"/>
              <w:widowControl/>
              <w:suppressLineNumbers w:val="0"/>
              <w:jc w:val="righ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101717</w:t>
            </w:r>
          </w:p>
        </w:tc>
        <w:tc>
          <w:tcPr>
            <w:tcW w:w="918" w:type="dxa"/>
            <w:tcBorders>
              <w:top w:val="single" w:color="000000" w:sz="4" w:space="0"/>
              <w:left w:val="nil"/>
              <w:bottom w:val="single" w:color="000000" w:sz="4" w:space="0"/>
              <w:right w:val="single" w:color="000000" w:sz="4" w:space="0"/>
            </w:tcBorders>
            <w:shd w:val="clear" w:color="auto" w:fill="auto"/>
            <w:vAlign w:val="center"/>
          </w:tcPr>
          <w:p w14:paraId="11EF5591">
            <w:pPr>
              <w:jc w:val="left"/>
              <w:rPr>
                <w:rFonts w:hint="eastAsia" w:ascii="微软雅黑" w:hAnsi="微软雅黑" w:eastAsia="微软雅黑" w:cs="微软雅黑"/>
                <w:i w:val="0"/>
                <w:iCs w:val="0"/>
                <w:color w:val="000000"/>
                <w:sz w:val="16"/>
                <w:szCs w:val="16"/>
                <w:highlight w:val="none"/>
                <w:u w:val="none"/>
              </w:rPr>
            </w:pPr>
          </w:p>
        </w:tc>
      </w:tr>
      <w:tr w14:paraId="101F5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27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75D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总计</w:t>
            </w:r>
          </w:p>
        </w:tc>
        <w:tc>
          <w:tcPr>
            <w:tcW w:w="810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9FD3F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234887.4</w:t>
            </w:r>
          </w:p>
        </w:tc>
        <w:tc>
          <w:tcPr>
            <w:tcW w:w="918" w:type="dxa"/>
            <w:tcBorders>
              <w:top w:val="single" w:color="A6A6A6" w:sz="4" w:space="0"/>
              <w:left w:val="nil"/>
              <w:bottom w:val="single" w:color="000000" w:sz="4" w:space="0"/>
              <w:right w:val="single" w:color="A6A6A6" w:sz="4" w:space="0"/>
            </w:tcBorders>
            <w:shd w:val="clear" w:color="auto" w:fill="FFFFFF"/>
            <w:vAlign w:val="top"/>
          </w:tcPr>
          <w:p w14:paraId="576123D8">
            <w:pPr>
              <w:rPr>
                <w:rFonts w:hint="eastAsia" w:ascii="微软雅黑" w:hAnsi="微软雅黑" w:eastAsia="微软雅黑" w:cs="微软雅黑"/>
                <w:i w:val="0"/>
                <w:iCs w:val="0"/>
                <w:color w:val="000000"/>
                <w:sz w:val="16"/>
                <w:szCs w:val="16"/>
                <w:highlight w:val="none"/>
                <w:u w:val="none"/>
              </w:rPr>
            </w:pPr>
          </w:p>
        </w:tc>
      </w:tr>
    </w:tbl>
    <w:p w14:paraId="3EE8BC51">
      <w:pPr>
        <w:pStyle w:val="32"/>
        <w:numPr>
          <w:ilvl w:val="0"/>
          <w:numId w:val="0"/>
        </w:numPr>
        <w:rPr>
          <w:rFonts w:hint="eastAsia" w:ascii="仿宋" w:hAnsi="仿宋" w:eastAsia="仿宋" w:cs="仿宋"/>
          <w:sz w:val="28"/>
          <w:szCs w:val="28"/>
          <w:highlight w:val="none"/>
        </w:rPr>
      </w:pPr>
    </w:p>
    <w:p w14:paraId="456EDB75">
      <w:pPr>
        <w:pStyle w:val="32"/>
        <w:numPr>
          <w:ilvl w:val="0"/>
          <w:numId w:val="0"/>
        </w:numPr>
        <w:rPr>
          <w:rFonts w:hint="eastAsia" w:ascii="仿宋" w:hAnsi="仿宋" w:eastAsia="仿宋" w:cs="仿宋"/>
          <w:sz w:val="28"/>
          <w:szCs w:val="28"/>
          <w:highlight w:val="none"/>
        </w:rPr>
      </w:pPr>
    </w:p>
    <w:p w14:paraId="11FB41FC">
      <w:pPr>
        <w:pStyle w:val="32"/>
        <w:numPr>
          <w:ilvl w:val="0"/>
          <w:numId w:val="0"/>
        </w:numPr>
        <w:rPr>
          <w:rFonts w:hint="eastAsia" w:ascii="仿宋" w:hAnsi="仿宋" w:eastAsia="仿宋" w:cs="仿宋"/>
          <w:sz w:val="28"/>
          <w:szCs w:val="28"/>
          <w:highlight w:val="none"/>
        </w:rPr>
      </w:pPr>
    </w:p>
    <w:tbl>
      <w:tblPr>
        <w:tblStyle w:val="17"/>
        <w:tblW w:w="10860" w:type="dxa"/>
        <w:tblInd w:w="-89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984"/>
        <w:gridCol w:w="4766"/>
        <w:gridCol w:w="1484"/>
        <w:gridCol w:w="783"/>
        <w:gridCol w:w="867"/>
        <w:gridCol w:w="1276"/>
      </w:tblGrid>
      <w:tr w14:paraId="75F58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1" w:hRule="atLeast"/>
        </w:trPr>
        <w:tc>
          <w:tcPr>
            <w:tcW w:w="10860" w:type="dxa"/>
            <w:gridSpan w:val="7"/>
            <w:tcBorders>
              <w:top w:val="nil"/>
              <w:left w:val="nil"/>
              <w:bottom w:val="nil"/>
              <w:right w:val="nil"/>
            </w:tcBorders>
            <w:shd w:val="clear" w:color="auto" w:fill="auto"/>
            <w:noWrap/>
            <w:vAlign w:val="center"/>
          </w:tcPr>
          <w:p w14:paraId="205B7E9C">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highlight w:val="none"/>
                <w:u w:val="none"/>
              </w:rPr>
            </w:pPr>
            <w:r>
              <w:rPr>
                <w:rFonts w:hint="eastAsia" w:ascii="微软雅黑" w:hAnsi="微软雅黑" w:eastAsia="微软雅黑" w:cs="微软雅黑"/>
                <w:b/>
                <w:bCs/>
                <w:i w:val="0"/>
                <w:iCs w:val="0"/>
                <w:snapToGrid w:val="0"/>
                <w:color w:val="000000"/>
                <w:kern w:val="0"/>
                <w:sz w:val="32"/>
                <w:szCs w:val="32"/>
                <w:highlight w:val="none"/>
                <w:u w:val="none"/>
                <w:lang w:val="en-US" w:eastAsia="zh-CN" w:bidi="ar"/>
              </w:rPr>
              <w:t>智慧安防平台</w:t>
            </w:r>
          </w:p>
        </w:tc>
      </w:tr>
      <w:tr w14:paraId="76D34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3A5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序号</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F70B">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功能模块</w:t>
            </w:r>
          </w:p>
        </w:tc>
        <w:tc>
          <w:tcPr>
            <w:tcW w:w="4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C864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规格、功能描述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6C6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控制单价（元）</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93D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单位</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953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数量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E80E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合计（元）</w:t>
            </w:r>
          </w:p>
        </w:tc>
      </w:tr>
      <w:tr w14:paraId="2671D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71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CE3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基础信息管理</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top"/>
          </w:tcPr>
          <w:p w14:paraId="3CED4A91">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1、系统基础配置：支持系统初始化配置与账号安全策略：密码有效期、到期提醒等策略</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2、组织与权限管理：</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（1）组织架构列表：组织上级、组织名称、唯一标识码、组织类型，以及组织的增删改查；部门信息：部门列表、部门信息的增删改查、导出功能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（2）支持人员信息维护、状态管理与统一纳管：用户所属角色、用户名、所属组织、用户类型、在线状态、用户状态、密码有效期、用户有效期；人员列表以及对应的增删改查导入、导出功能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（3）支持角色定义及权限分配：配置角色名称、角色等级、角色描述、角色的菜单权限、部门权限、逻辑组织权限、基础组织权限和资源操作权限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3、资源管理：支持多平台、多系统资源的级联接入与统一管理：包括大华、海康威视厂商的报警设备、门禁设备、摄像头设备、停车闸设备的SDK对接与管理</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4、数据与空间配置：首页，驾驶舱：支持运维情况、资产状态和报警信息的综合展示；支持运维相关数据的统计分析；支持智能告警按类型、区域、时段统计分析；停车数据统计分析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5、安防基础配置：支持报警类型新增、设定报警等级</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C65E">
            <w:pPr>
              <w:keepNext w:val="0"/>
              <w:keepLines w:val="0"/>
              <w:widowControl/>
              <w:suppressLineNumbers w:val="0"/>
              <w:jc w:val="righ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6000.00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115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0F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4DB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6000.00 </w:t>
            </w:r>
          </w:p>
        </w:tc>
      </w:tr>
      <w:tr w14:paraId="09311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5C1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9EC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设备运维管理</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top"/>
          </w:tcPr>
          <w:p w14:paraId="21F70646">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1、运行监控：支持设备运行状态监控，设备实时报警监控</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24FC">
            <w:pPr>
              <w:keepNext w:val="0"/>
              <w:keepLines w:val="0"/>
              <w:widowControl/>
              <w:suppressLineNumbers w:val="0"/>
              <w:jc w:val="righ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3000.00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D8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30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59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3000.00 </w:t>
            </w:r>
          </w:p>
        </w:tc>
      </w:tr>
      <w:tr w14:paraId="1BF52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C6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C9C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电子围栏管理</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top"/>
          </w:tcPr>
          <w:p w14:paraId="67020F10">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1、设备管理：设备组织检索；报警设备新增、删除、导入、导出；报警通道管理；</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2、防区配置：报警主机的防区设置</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3、策略管理：报警权限：设置报警的权限等级；报警策略管理：报警规则、报警通知规则</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4、预案管理：触发报警，支持选择报警类型，出发报警，支持选择组织和选择设备及通道；支持不同报警场景下的预案配置，支持联动实时预览、联动录像、触发抓图、门禁四种联动动作</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BE17">
            <w:pPr>
              <w:keepNext w:val="0"/>
              <w:keepLines w:val="0"/>
              <w:widowControl/>
              <w:suppressLineNumbers w:val="0"/>
              <w:jc w:val="righ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4000.00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EF8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34E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C1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4000.00 </w:t>
            </w:r>
          </w:p>
        </w:tc>
      </w:tr>
      <w:tr w14:paraId="292D2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1"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78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3EE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监控视频管理</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top"/>
          </w:tcPr>
          <w:p w14:paraId="64707587">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1、资源管理：支持视频设备与通道资源的统一接入与管理；是否属于防区及哪个防区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2、基础监控：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（1）支持实时视频预览、多画面监控与快速定位</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（2）支持云台转动、变倍、预置位与巡航控制</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（3）支持配置视频上墙，及时上墙和计划上墙</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3、录像管理：支持按时间、通道、事件条件进行录像回放</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4、智能分析：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（1）基于视频分析识别跑冒滴漏等设备运行异常</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（2）基于视频分析识别周界、限制区域人员入侵行为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（3）基于视频分析识别人员违规作业与不规范行为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（4）基于视频分析实现烟雾与明火的早期识别</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5、主动报警：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（1）根据【智能分析】功能的结果自动生成标准化告警事件以及防区报警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（2）支持弹窗、声音、大屏、录像抓拍等联动处置</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（3）支持告警事件自动关联录像与抓拍形成证据包</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9CCC">
            <w:pPr>
              <w:keepNext w:val="0"/>
              <w:keepLines w:val="0"/>
              <w:widowControl/>
              <w:suppressLineNumbers w:val="0"/>
              <w:jc w:val="righ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9000.00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2A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007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B6B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9000.00 </w:t>
            </w:r>
          </w:p>
        </w:tc>
      </w:tr>
      <w:tr w14:paraId="18F63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47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545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门禁管理 </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top"/>
          </w:tcPr>
          <w:p w14:paraId="39E1BC65">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设备管理：支持门禁设备的统一接入与管理：设备组织检索；门禁设备新增、删除、导入、导出、移动，按照本级子节点、设备显示，支持设备名称，设备编号，ip检索；通道列表及通道信息编辑，支持通道名称，通道编号，设备名称进行检索；</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人员管理：支持人员与门禁凭证的关联管理；人员管理：人员基本信息、证件号码、手机号、所属部门、人员状态、权限有效期、生物特征、卡片；新增人员：人员姓名、所属部门、人员编号、证件类型、证件号码、性别、出生日期、人员身份、年龄、手机号、证件地址、民族、邮箱、国家地区、头像、生物特征、卡片、掌静脉信息人员信息的增删改查、导入、导出功能；卡片管理：卡号、卡介质、有效刷卡次数、持卡人、联系电话、所属部门、有效期、主附卡、卡状态、卡片的增删改查、导出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权限管理：门组配置：门组、所属组织、门禁通道数量、备注、操作，门禁通道、所属组织、操作；新增门组：门组名称、所属组织、备注、选择门禁通道；支持人员门禁权限的配置：部门、照片、姓名、人员编号、人员状态、持卡数量、生物特征、配置状态；授权配置：指定人员选择门禁通道权限、门组权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4、事件管理：支持人员通行记录和门禁事件查询：门禁记录：门禁通道列表；时间、姓名、人员编号、卡号、部门、门禁通道、开门类型、开门结果、时间类型、失败原因</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A131">
            <w:pPr>
              <w:keepNext w:val="0"/>
              <w:keepLines w:val="0"/>
              <w:widowControl/>
              <w:suppressLineNumbers w:val="0"/>
              <w:jc w:val="righ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4000.00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07F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61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3F1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4000.00 </w:t>
            </w:r>
          </w:p>
        </w:tc>
      </w:tr>
      <w:tr w14:paraId="46EB0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2"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0E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872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停车管理</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top"/>
          </w:tcPr>
          <w:p w14:paraId="77582905">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1、车辆管理：支持车辆档案信息的集中管理，车辆档案列表：车牌号、识别情况、车牌颜色、车辆颜色、车主姓名、所属部门；车辆信息的增删改查、导入、导出功能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2、停车资源管理：停车场管理：场区名称、场区编号、所属组织、地址、电话号码、总车位数、当前剩余车位数；车位资源管理：车位不足预警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3、出入口管理：支持车辆出入口与道闸设备管理：序号、编码、设备名称、设备类型、所属组织、在线状态；设备列表展示与设备的增删改查、导出等功能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4、记录统计：支持车辆进出记录查询展示</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5265">
            <w:pPr>
              <w:keepNext w:val="0"/>
              <w:keepLines w:val="0"/>
              <w:widowControl/>
              <w:suppressLineNumbers w:val="0"/>
              <w:jc w:val="righ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4000.00 </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C8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7C3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3721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4000.00 </w:t>
            </w:r>
          </w:p>
        </w:tc>
      </w:tr>
      <w:tr w14:paraId="1BED7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958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0D544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总计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CAF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30000.00 </w:t>
            </w:r>
          </w:p>
        </w:tc>
      </w:tr>
    </w:tbl>
    <w:p w14:paraId="3A5957F4">
      <w:pPr>
        <w:pStyle w:val="32"/>
        <w:numPr>
          <w:ilvl w:val="0"/>
          <w:numId w:val="0"/>
        </w:numPr>
        <w:rPr>
          <w:rFonts w:hint="default"/>
          <w:highlight w:val="none"/>
          <w:lang w:val="en-US" w:eastAsia="zh-CN"/>
        </w:rPr>
      </w:pPr>
      <w:r>
        <w:rPr>
          <w:rFonts w:hint="eastAsia" w:ascii="仿宋" w:hAnsi="仿宋" w:eastAsia="仿宋" w:cs="仿宋"/>
          <w:sz w:val="28"/>
          <w:szCs w:val="28"/>
          <w:highlight w:val="none"/>
        </w:rPr>
        <w:br w:type="page"/>
      </w:r>
    </w:p>
    <w:p w14:paraId="790DDE38">
      <w:pPr>
        <w:pageBreakBefore w:val="0"/>
        <w:shd w:val="clear"/>
        <w:kinsoku/>
        <w:wordWrap/>
        <w:overflowPunct/>
        <w:autoSpaceDE/>
        <w:autoSpaceDN/>
        <w:bidi w:val="0"/>
        <w:adjustRightInd w:val="0"/>
        <w:snapToGrid w:val="0"/>
        <w:spacing w:line="360" w:lineRule="auto"/>
        <w:ind w:firstLine="643" w:firstLineChars="200"/>
        <w:jc w:val="center"/>
        <w:textAlignment w:val="auto"/>
        <w:rPr>
          <w:rFonts w:ascii="仿宋" w:hAnsi="仿宋" w:eastAsia="仿宋" w:cs="仿宋"/>
          <w:b/>
          <w:bCs/>
          <w:sz w:val="32"/>
          <w:szCs w:val="32"/>
          <w:highlight w:val="none"/>
        </w:rPr>
      </w:pPr>
      <w:r>
        <w:rPr>
          <w:rFonts w:hint="eastAsia" w:ascii="仿宋" w:hAnsi="仿宋" w:eastAsia="仿宋" w:cs="仿宋"/>
          <w:b/>
          <w:bCs/>
          <w:sz w:val="32"/>
          <w:szCs w:val="32"/>
          <w:highlight w:val="none"/>
        </w:rPr>
        <w:t>第</w:t>
      </w:r>
      <w:r>
        <w:rPr>
          <w:rFonts w:hint="eastAsia" w:ascii="仿宋" w:hAnsi="仿宋" w:eastAsia="仿宋" w:cs="仿宋"/>
          <w:b/>
          <w:bCs/>
          <w:sz w:val="32"/>
          <w:szCs w:val="32"/>
          <w:highlight w:val="none"/>
          <w:lang w:val="en-US" w:eastAsia="zh-CN"/>
        </w:rPr>
        <w:t>四</w:t>
      </w:r>
      <w:r>
        <w:rPr>
          <w:rFonts w:hint="eastAsia" w:ascii="仿宋" w:hAnsi="仿宋" w:eastAsia="仿宋" w:cs="仿宋"/>
          <w:b/>
          <w:bCs/>
          <w:sz w:val="32"/>
          <w:szCs w:val="32"/>
          <w:highlight w:val="none"/>
        </w:rPr>
        <w:t>章 安全施工操作规程</w:t>
      </w:r>
    </w:p>
    <w:p w14:paraId="55806DF7">
      <w:pPr>
        <w:pStyle w:val="3"/>
        <w:pageBreakBefore w:val="0"/>
        <w:shd w:val="clear"/>
        <w:kinsoku/>
        <w:wordWrap/>
        <w:overflowPunct/>
        <w:autoSpaceDE/>
        <w:autoSpaceDN/>
        <w:bidi w:val="0"/>
        <w:adjustRightInd w:val="0"/>
        <w:snapToGrid w:val="0"/>
        <w:spacing w:line="360" w:lineRule="auto"/>
        <w:ind w:firstLine="422" w:firstLineChars="200"/>
        <w:textAlignment w:val="auto"/>
        <w:rPr>
          <w:rFonts w:ascii="黑体"/>
          <w:b w:val="0"/>
          <w:sz w:val="21"/>
          <w:szCs w:val="21"/>
          <w:highlight w:val="none"/>
        </w:rPr>
      </w:pPr>
      <w:bookmarkStart w:id="22" w:name="_Toc28883"/>
      <w:bookmarkStart w:id="23" w:name="_Toc14344"/>
      <w:bookmarkStart w:id="24" w:name="_Toc25210"/>
      <w:bookmarkStart w:id="25" w:name="_Toc27469"/>
      <w:r>
        <w:rPr>
          <w:rFonts w:hint="eastAsia" w:ascii="宋体" w:hAnsi="宋体" w:eastAsia="宋体" w:cs="宋体"/>
          <w:sz w:val="21"/>
          <w:szCs w:val="21"/>
          <w:highlight w:val="none"/>
        </w:rPr>
        <w:t>第一节  焊工安全操作规程</w:t>
      </w:r>
      <w:bookmarkEnd w:id="22"/>
      <w:bookmarkEnd w:id="23"/>
      <w:bookmarkEnd w:id="24"/>
      <w:bookmarkEnd w:id="25"/>
    </w:p>
    <w:p w14:paraId="5593CBA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1、工作前应认真检查工具、设备是否完好，焊机的外壳是否可靠地接地。焊机的修理应由电气保养人员进行，其他人员不得拆修。</w:t>
      </w:r>
    </w:p>
    <w:p w14:paraId="01124CA0">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2、工作前应认真检查工作环境，确认为正常方可开始工作，施工前穿戴好劳动保护用品，戴好安全帽。高空作业要戴好安全带。敲焊渣、磨砂轮戴好平光眼镜。</w:t>
      </w:r>
    </w:p>
    <w:p w14:paraId="25229BA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3、焊接前，应检查并确认对焊机的压力机构灵活，夹具牢固，气压、液压系统无泄漏，一切正常后，方可施焊。</w:t>
      </w:r>
    </w:p>
    <w:p w14:paraId="2B55D04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4、焊接前，应根据所焊接钢筋截面，调整二次电压，不得焊接超过对焊机规定直径的钢筋。</w:t>
      </w:r>
    </w:p>
    <w:p w14:paraId="7CA0AAB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5、接拆电焊机电源线或电焊机发生故障，应会同电工一起进行修理，严防触电事故。</w:t>
      </w:r>
    </w:p>
    <w:p w14:paraId="1EDE70E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6、接地线要牢靠安全，不准用脚手架，钢丝缆绳、机床等作接地线。</w:t>
      </w:r>
    </w:p>
    <w:p w14:paraId="623240E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7、在靠近易燃地方焊接，要有严格的防火措施，必要时须经安全员同意方可工作。焊接完毕应认真检查确无火源，才能离开工作场地。 </w:t>
      </w:r>
    </w:p>
    <w:p w14:paraId="2612DD1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8、焊接密封容器、管子应先开好放气孔。修补已装过油的容器，应清洗干净，打开人孔盖或放气孔，才能进行焊接。</w:t>
      </w:r>
    </w:p>
    <w:p w14:paraId="5977F9F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9、在已使用过的罐体上进行焊接作业时，必须查明是否有易燃、易爆气体或物料，严禁在未查明之前动火焊接。焊钳、电焊线应经常检查、保养，发现有损坏应及时修好或更换，焊接过程发现短路现象应先关好焊机，再寻找短路原因，防止焊机烧坏。 </w:t>
      </w:r>
    </w:p>
    <w:p w14:paraId="08D3978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10、焊接吊码、加强脚手架和重要结构应有足够的强度，并敲去焊渣认真检查是否安全、可靠。 </w:t>
      </w:r>
    </w:p>
    <w:p w14:paraId="2A2A846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9、在容器内焊接，应注意通风，把有害烟尘排出，以防中毒。在狭小容器内焊接应有2人，以防触电等事故。</w:t>
      </w:r>
    </w:p>
    <w:p w14:paraId="54EC84B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12、容器内油漆未干，有可燃体散发不准施焊。 </w:t>
      </w:r>
    </w:p>
    <w:p w14:paraId="36E703E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13、施工焊接现场10M范围内，不得堆放油类、木材、氧气瓶、乙炔发生器等易燃、易爆物品。</w:t>
      </w:r>
    </w:p>
    <w:p w14:paraId="1AA1FA1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14、断路器的接触点、电极应定期光磨，二次电路全部连接螺栓应定期紧固。冷却水温度不得超过40℃；排水量应根据温度调节。</w:t>
      </w:r>
    </w:p>
    <w:p w14:paraId="76553170">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15、焊接较长钢筋时，应设置托架，配合搬运钢筋的操作人员，在焊接时应防止火花烫伤。</w:t>
      </w:r>
    </w:p>
    <w:p w14:paraId="6C01FBD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16、闪光区应设挡板，与焊接无关的人员不得入内。</w:t>
      </w:r>
    </w:p>
    <w:p w14:paraId="0C1C901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FF"/>
          <w:sz w:val="21"/>
          <w:szCs w:val="21"/>
          <w:highlight w:val="none"/>
        </w:rPr>
      </w:pPr>
      <w:r>
        <w:rPr>
          <w:rFonts w:hint="eastAsia" w:ascii="宋体" w:hAnsi="宋体"/>
          <w:color w:val="000000"/>
          <w:sz w:val="21"/>
          <w:szCs w:val="21"/>
          <w:highlight w:val="none"/>
        </w:rPr>
        <w:t>17、冬季施焊时，室内温度不应低于8℃。作业后，应放尽机内冷却水。</w:t>
      </w:r>
    </w:p>
    <w:p w14:paraId="7E41AD3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ascii="宋体" w:hAnsi="宋体"/>
          <w:color w:val="000000"/>
          <w:sz w:val="21"/>
          <w:szCs w:val="21"/>
          <w:highlight w:val="none"/>
        </w:rPr>
        <w:t>1</w:t>
      </w:r>
      <w:r>
        <w:rPr>
          <w:rFonts w:hint="eastAsia" w:ascii="宋体" w:hAnsi="宋体"/>
          <w:color w:val="000000"/>
          <w:sz w:val="21"/>
          <w:szCs w:val="21"/>
          <w:highlight w:val="none"/>
        </w:rPr>
        <w:t>8、电焊机应放在防雨和通风良好的地方，焊接现场不准堆放易燃、易爆物品，使用电焊机必须按规定穿戴防护用品。</w:t>
      </w:r>
    </w:p>
    <w:p w14:paraId="2183973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ascii="宋体" w:hAnsi="宋体"/>
          <w:sz w:val="21"/>
          <w:szCs w:val="21"/>
          <w:highlight w:val="none"/>
        </w:rPr>
        <w:t>1</w:t>
      </w:r>
      <w:r>
        <w:rPr>
          <w:rFonts w:hint="eastAsia" w:ascii="宋体" w:hAnsi="宋体"/>
          <w:sz w:val="21"/>
          <w:szCs w:val="21"/>
          <w:highlight w:val="none"/>
        </w:rPr>
        <w:t>9、焊钳与把线必须绝缘良好，连接牢固，更换焊条应戴手套；潮湿地点工作，应站在绝缘胶板上或木板上。</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20、交流弧焊机一次电源线长度应不大于5米，电焊机二次线电缆长度应不大于30米。</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21、严禁在带压力的容器或管道上施焊，焊接带电的设备必须先切断电源。</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ascii="宋体" w:hAnsi="宋体"/>
          <w:color w:val="000000"/>
          <w:sz w:val="21"/>
          <w:szCs w:val="21"/>
          <w:highlight w:val="none"/>
        </w:rPr>
        <w:t xml:space="preserve"> </w:t>
      </w:r>
      <w:r>
        <w:rPr>
          <w:rFonts w:hint="eastAsia" w:ascii="宋体" w:hAnsi="宋体"/>
          <w:color w:val="000000"/>
          <w:sz w:val="21"/>
          <w:szCs w:val="21"/>
          <w:highlight w:val="none"/>
        </w:rPr>
        <w:t>22、焊接贮存过易燃、易爆、有毒物品的容器或管道，必须先清除干净，并将所有孔口打开。</w:t>
      </w:r>
    </w:p>
    <w:p w14:paraId="050CD29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23、在密闭金属容器内施焊时，容器必须可靠接地、通风良好，并应有人监护。严禁往容器内输入氧气。</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24、焊接预热工件时，应有石棉布或挡板等隔热措施。</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25、把线、地线，禁止与钢丝绳接触，更不得用钢丝绳或机电设备代替零线。所有地线接头必须连接牢固。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26、更换场地移动把线时，应切断电源，并不得手持把线爬梯登高。</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27、清除焊渣采用电弧气刨清根时，应戴防护眼镜或面罩，防止铁渣飞溅伤人。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28、雷雨时，应停止露天焊接作业;更换场地移动把线应切断电源。</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ascii="宋体" w:hAnsi="宋体"/>
          <w:color w:val="000000"/>
          <w:sz w:val="21"/>
          <w:szCs w:val="21"/>
          <w:highlight w:val="none"/>
        </w:rPr>
        <w:t>2</w:t>
      </w:r>
      <w:r>
        <w:rPr>
          <w:rFonts w:hint="eastAsia" w:ascii="宋体" w:hAnsi="宋体"/>
          <w:color w:val="000000"/>
          <w:sz w:val="21"/>
          <w:szCs w:val="21"/>
          <w:highlight w:val="none"/>
        </w:rPr>
        <w:t>9、必须在易燃易爆气体或液体扩散区施焊时，应经有关部门检试许可后，方可施焊。</w:t>
      </w:r>
    </w:p>
    <w:p w14:paraId="395AE3B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color w:val="000000"/>
          <w:sz w:val="21"/>
          <w:szCs w:val="21"/>
          <w:highlight w:val="none"/>
        </w:rPr>
        <w:t>30、电焊着火时，应先切断焊机电源，再用二氧化碳、干粉等灭火器灭火，禁止使用泡沫灭火器。 </w:t>
      </w:r>
    </w:p>
    <w:p w14:paraId="273DB40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31、工作完毕，必须断掉龙头线接头，检查现场，灭绝火种，切断电源，确认无起火危险后，方可离去。</w:t>
      </w:r>
    </w:p>
    <w:p w14:paraId="3039EB06">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26" w:name="_Toc2036"/>
      <w:bookmarkStart w:id="27" w:name="_Toc31024"/>
      <w:bookmarkStart w:id="28" w:name="_Toc16316"/>
      <w:r>
        <w:rPr>
          <w:rFonts w:hint="eastAsia" w:ascii="宋体" w:hAnsi="宋体" w:cs="宋体"/>
          <w:b/>
          <w:bCs/>
          <w:sz w:val="21"/>
          <w:szCs w:val="21"/>
          <w:highlight w:val="none"/>
        </w:rPr>
        <w:t>第二节 电工安全操作规程</w:t>
      </w:r>
      <w:bookmarkEnd w:id="26"/>
      <w:bookmarkEnd w:id="27"/>
      <w:bookmarkEnd w:id="28"/>
    </w:p>
    <w:p w14:paraId="74D2B55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ascii="宋体" w:hAnsi="宋体"/>
          <w:sz w:val="21"/>
          <w:szCs w:val="21"/>
          <w:highlight w:val="none"/>
        </w:rPr>
        <w:t xml:space="preserve"> </w:t>
      </w:r>
      <w:r>
        <w:rPr>
          <w:rFonts w:hint="eastAsia" w:ascii="宋体" w:hAnsi="宋体"/>
          <w:sz w:val="21"/>
          <w:szCs w:val="21"/>
          <w:highlight w:val="none"/>
        </w:rPr>
        <w:t xml:space="preserve">1、电工作业人员必须经过有关部门安全技术培训，取得特种作业操作证后，方可独立上岗操作。现场用电作业必须由电工完成，严禁他人私拉乱接等作业。    </w:t>
      </w:r>
    </w:p>
    <w:p w14:paraId="7AA1C87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2、所有绝缘、检验工具，应妥善保管，严禁他用，并应定期检查、检验。    </w:t>
      </w:r>
    </w:p>
    <w:p w14:paraId="76EDB3E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3、现场施工用电高低压设备及线路，应按照施工组织设计及有关电气安全技术规程安装和架设。线路上禁止带负荷接电或断电，并禁止带电操作。  </w:t>
      </w:r>
    </w:p>
    <w:p w14:paraId="192F4B1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4、电气设备和线路必须绝缘良好，电线不得与金属物绑在一起；各种施工用电设备必须按规定进行保护接零及装没漏保器。遇有临时停电或停工休息时，必须拉闸加锁。    </w:t>
      </w:r>
    </w:p>
    <w:p w14:paraId="5ED81C91">
      <w:pPr>
        <w:pageBreakBefore w:val="0"/>
        <w:shd w:val="clear"/>
        <w:kinsoku/>
        <w:wordWrap/>
        <w:overflowPunct/>
        <w:autoSpaceDE/>
        <w:autoSpaceDN/>
        <w:bidi w:val="0"/>
        <w:adjustRightInd w:val="0"/>
        <w:snapToGrid w:val="0"/>
        <w:spacing w:line="360" w:lineRule="auto"/>
        <w:ind w:firstLine="420" w:firstLineChars="200"/>
        <w:textAlignment w:val="auto"/>
        <w:rPr>
          <w:rFonts w:ascii="_x000B__x000C_" w:hAnsi="_x000B__x000C_"/>
          <w:color w:val="000000"/>
          <w:sz w:val="21"/>
          <w:szCs w:val="21"/>
          <w:highlight w:val="none"/>
        </w:rPr>
      </w:pPr>
      <w:r>
        <w:rPr>
          <w:rFonts w:hint="eastAsia" w:ascii="宋体" w:hAnsi="宋体"/>
          <w:sz w:val="21"/>
          <w:szCs w:val="21"/>
          <w:highlight w:val="none"/>
        </w:rPr>
        <w:t>5、有人触电时，应立即切断电源，进行急救；电气着火时，应立即将有关电源切断，使用绝缘灭火机或干砂灭火。</w:t>
      </w:r>
      <w:r>
        <w:rPr>
          <w:rFonts w:hint="eastAsia" w:ascii="_x000B__x000C_" w:hAnsi="_x000B__x000C_"/>
          <w:color w:val="000000"/>
          <w:sz w:val="21"/>
          <w:szCs w:val="21"/>
          <w:highlight w:val="none"/>
        </w:rPr>
        <w:t>严禁使用泡沫灭火器。</w:t>
      </w:r>
    </w:p>
    <w:p w14:paraId="7BAF729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6、在施工现场专用的中性点直接接地的电力系统中，必须采用TN—S接零保护系统。  </w:t>
      </w:r>
    </w:p>
    <w:p w14:paraId="60BC991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7、施工现场每一处重复接地的按地电阻值应不大于10欧姆，且不得少于3处(即总配电箱、线路的中间和末端处)。   </w:t>
      </w:r>
    </w:p>
    <w:p w14:paraId="4DB745B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8、电气设备所有保险丝(片)的额定电源应与其负荷容量相适应。禁上用其他金属丝代替保险丝。    </w:t>
      </w:r>
    </w:p>
    <w:p w14:paraId="58A25FD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9、动力线路与照明线路必须分开架设。照明开关、灯口及插座等，应正确接入相线及零线。   </w:t>
      </w:r>
    </w:p>
    <w:p w14:paraId="6BC6EC1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10、施工现场夜间临时照明电线及灯具，室内高度应不低于2.4米，室外高度应不低于3米。易燃、易爆场所应有防爆灯具。施工现场照明灯具的金属外壳和金属支架必须作保护接零。电线要采用三芯橡皮护套电缆，严禁使用花线和护套线。   </w:t>
      </w:r>
    </w:p>
    <w:p w14:paraId="38BCC61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9、要按规定做好钢管脚手架、物料提升机、塔吊等的防雷接地保护。接地体可用角钢，不得使用螺纹钢，接地电阻应符合规范要求。   </w:t>
      </w:r>
    </w:p>
    <w:p w14:paraId="77E70BF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12、支线架设应设置横担，并用绝缘子固定；电线严禁架设在脚手架、树木等处，不准用竹质电杆；架空线路不准成束架设。    </w:t>
      </w:r>
    </w:p>
    <w:p w14:paraId="070EFA0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13、电气设备的金属外壳，必须接保护零线，同一供电系统不允许电气设备有的接地有的保护接零。    </w:t>
      </w:r>
    </w:p>
    <w:p w14:paraId="6BCE273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14、施工现场配电箱要有防雨措施，门锁齐全，有色标，统一编号。开关箱要做到一机一闸一漏一箱，箱内尤杂物；开关箱、配电箱内严禁动力、照明混用；要有检修记录及记录本。  </w:t>
      </w:r>
    </w:p>
    <w:p w14:paraId="7B2458F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15、移动电箱电源线长度不大于30米，移动用电设备引出线不大于5米。 </w:t>
      </w:r>
    </w:p>
    <w:p w14:paraId="791B7A1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16、所有配电箱均应标明其名称、用途，并作出分路标记。 所有配电箱门应配锁，配电箱和开关箱应由持证的电工负责使用管理。</w:t>
      </w:r>
    </w:p>
    <w:p w14:paraId="42785FA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17、安装高压油开关，自动空气开关等有返回弹簧的开关设备时，应将开关置于断开位置。</w:t>
      </w:r>
    </w:p>
    <w:p w14:paraId="5481421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18、电力传动装置系统及高低压各型开关调试时，应将有关的开关手柄取下或锁上，悬挂标志牌，防止误合闸。</w:t>
      </w:r>
    </w:p>
    <w:p w14:paraId="25FF7F1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19、施工现场临时用电以及电机设备必须建立安全技术档案，现场应配置专职维护电工，并做好巡视维修记录。</w:t>
      </w:r>
    </w:p>
    <w:p w14:paraId="62F79DA5">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29" w:name="_Toc21589"/>
      <w:bookmarkStart w:id="30" w:name="_Toc17144"/>
      <w:bookmarkStart w:id="31" w:name="_Toc5717"/>
      <w:r>
        <w:rPr>
          <w:rFonts w:hint="eastAsia" w:ascii="宋体" w:hAnsi="宋体" w:cs="宋体"/>
          <w:b/>
          <w:bCs/>
          <w:sz w:val="21"/>
          <w:szCs w:val="21"/>
          <w:highlight w:val="none"/>
        </w:rPr>
        <w:t>第三节 架子工安全操作规程</w:t>
      </w:r>
      <w:bookmarkEnd w:id="29"/>
      <w:bookmarkEnd w:id="30"/>
      <w:bookmarkEnd w:id="31"/>
    </w:p>
    <w:p w14:paraId="2D18FA3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1、架子工(建筑登高架设作业人员)经特种作业和高处作业安全技术培训考核，取得特种作业操作证和体检合格后，才能进行脚手架的搭设和拆除工作。</w:t>
      </w:r>
    </w:p>
    <w:p w14:paraId="4674C77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2、搭设脚手架必须按规范进行，即：横平竖直、连接牢固，底脚着实，层层拉结，支撑挺直，通畅平坦，设施齐全、牢固。</w:t>
      </w:r>
    </w:p>
    <w:p w14:paraId="7F13198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3、架子工必须严格按专项施工方案及操作规程的要求搭设，在搭设中要正确佩戴和使用劳动保护用品，戴好安全帽，系安全带，佩带工具袋（套），禁止穿硬底和带钉易滑的鞋上岗。</w:t>
      </w:r>
    </w:p>
    <w:p w14:paraId="3BDA869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4、架子工的作业必须遵照安全技术操作规程、施工负责人的安全技术交底进行，在操作中要严格按规程、标准要求搭设，坚守工作岗位，严禁酒后上岗操作。</w:t>
      </w:r>
    </w:p>
    <w:p w14:paraId="513BF83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5、脚手架不得钢、竹混搭，主要受力杆件，如立杆、大横杆、小横杆和剪刀撑等，在同一建筑立面必须使用同一材质的材料。</w:t>
      </w:r>
    </w:p>
    <w:p w14:paraId="22B75F3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6、搭设用钢管和扣件必须符合国家标准，禁止使用有严重锈蚀、弯曲变形或有裂纹的钢管，脆裂、变形、滑丝的扣件也禁止使用。</w:t>
      </w:r>
    </w:p>
    <w:p w14:paraId="51C586E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7、脚手架内立杆与外墙面间按规定进行防护。脚手架上人斜道应有独立的支撑系统，转角休息平台应不小于2平方米，斜道坡度不得大于l:3，防滑条的间距不得大于30厘米。</w:t>
      </w:r>
    </w:p>
    <w:p w14:paraId="66A5DF3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8、钢管脚手架立杆的底脚应垂直稳放在砼垫块或砼硬化地基上，并设纵、横向扫地杆。</w:t>
      </w:r>
    </w:p>
    <w:p w14:paraId="4C16824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9、脚于架两端、转角处以及外侧的剪刀撑必须接续到位，拉结点构造和数量符合要求。</w:t>
      </w:r>
    </w:p>
    <w:p w14:paraId="6461DF2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10、设置的立杆应等距，纵向间距不得大于1.8水、脚厂架离墙面不宜大于10厘米。大于10厘米的，必须采取隔离措施。</w:t>
      </w:r>
    </w:p>
    <w:p w14:paraId="2707705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11</w:t>
      </w:r>
      <w:r>
        <w:rPr>
          <w:rFonts w:hint="eastAsia" w:ascii="宋体" w:hAnsi="宋体"/>
          <w:sz w:val="21"/>
          <w:szCs w:val="21"/>
          <w:highlight w:val="none"/>
        </w:rPr>
        <w:t>、脚手架主要杆件的接长点必须错开；钢管剪刀撑的接长处必须搭接，其搭接长度不得小于50厘米。</w:t>
      </w:r>
    </w:p>
    <w:p w14:paraId="4FF0EFC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12、脚手架的顶端必须按规程要求封顶；里立杆应低于檐口50厘米，外立杆应高出檐口1米。脚手架的外侧，自第二步起，必须每步设1.2米高的防护栏杆和30米厘米高的挡脚杆；顶排的扶手栏杆不得少于2道，高度分别为1.2米和1.8米。</w:t>
      </w:r>
    </w:p>
    <w:p w14:paraId="2312FC7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13、脚手架与各类输电线路的距离必须符合规定的安全距离，否则必须采取必要的安全防护措施。搭没和拆除架体时，必须注意安全，谨防杆件碰及高压线后伤人。</w:t>
      </w:r>
    </w:p>
    <w:p w14:paraId="00865B9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14、操作面高于2米的里脚手架的安全防护、强度、刚性和稳定性必须同样符合有关要求。</w:t>
      </w:r>
    </w:p>
    <w:p w14:paraId="1263725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15、脚手架必须有良好的避雷接地装置，接地电阻不大于lo欧姆。</w:t>
      </w:r>
    </w:p>
    <w:p w14:paraId="419E8E2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16、脚手架上的垃圾杂物必须经常清理，发现脚手片破损或杆件弯曲、变形的，应及时更换。</w:t>
      </w:r>
    </w:p>
    <w:p w14:paraId="680496D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17、严禁在脚手架上拉缆风绳和设置起重把杆；不准在脚手架上搁运料滑槽，搭设受料平台；不准采用斜拉、斜吊方式从脚手架上进料。</w:t>
      </w:r>
    </w:p>
    <w:p w14:paraId="6AB9BE3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18</w:t>
      </w:r>
      <w:r>
        <w:rPr>
          <w:rFonts w:hint="eastAsia" w:ascii="宋体" w:hAnsi="宋体"/>
          <w:sz w:val="21"/>
          <w:szCs w:val="21"/>
          <w:highlight w:val="none"/>
        </w:rPr>
        <w:t>、遇有六级以上大风等恶劣气候，禁止进行露天的高处架子作业。</w:t>
      </w:r>
    </w:p>
    <w:p w14:paraId="4FD9E0F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rPr>
        <w:t>1</w:t>
      </w:r>
      <w:r>
        <w:rPr>
          <w:rFonts w:hint="eastAsia" w:ascii="宋体" w:hAnsi="宋体"/>
          <w:sz w:val="21"/>
          <w:szCs w:val="21"/>
          <w:highlight w:val="none"/>
          <w:lang w:val="en-US" w:eastAsia="zh-CN"/>
        </w:rPr>
        <w:t>9</w:t>
      </w:r>
      <w:r>
        <w:rPr>
          <w:rFonts w:hint="eastAsia" w:ascii="宋体" w:hAnsi="宋体"/>
          <w:sz w:val="21"/>
          <w:szCs w:val="21"/>
          <w:highlight w:val="none"/>
        </w:rPr>
        <w:t>、架子的铺设宽度</w:t>
      </w:r>
      <w:r>
        <w:rPr>
          <w:rFonts w:hint="eastAsia" w:ascii="仿宋_GB2312"/>
          <w:sz w:val="21"/>
          <w:szCs w:val="21"/>
          <w:highlight w:val="none"/>
        </w:rPr>
        <w:t>不得小于1.2米，脚手板须满铺，不得有空隙和探头板，脚手板搭接时不得小于10厘米，对头接时应设双排小横杆，间距不大于10厘米，在拐弯处脚手板应交叉搭接。</w:t>
      </w:r>
    </w:p>
    <w:p w14:paraId="2DDBDE6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20</w:t>
      </w:r>
      <w:r>
        <w:rPr>
          <w:rFonts w:hint="eastAsia" w:ascii="宋体" w:hAnsi="宋体"/>
          <w:sz w:val="21"/>
          <w:szCs w:val="21"/>
          <w:highlight w:val="none"/>
        </w:rPr>
        <w:t>、翻脚</w:t>
      </w:r>
      <w:r>
        <w:rPr>
          <w:rFonts w:hint="eastAsia" w:ascii="仿宋_GB2312"/>
          <w:sz w:val="21"/>
          <w:szCs w:val="21"/>
          <w:highlight w:val="none"/>
        </w:rPr>
        <w:t>手板应两人由里往外按顺序进行，在铺第一块或翻到最后一块脚手板时，必须挂牢安全带。</w:t>
      </w:r>
    </w:p>
    <w:p w14:paraId="16C3DBB3">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lang w:val="en-US" w:eastAsia="zh-CN"/>
        </w:rPr>
        <w:t>21</w:t>
      </w:r>
      <w:r>
        <w:rPr>
          <w:rFonts w:hint="eastAsia" w:ascii="宋体" w:hAnsi="宋体"/>
          <w:sz w:val="21"/>
          <w:szCs w:val="21"/>
          <w:highlight w:val="none"/>
        </w:rPr>
        <w:t>、脚手架、井架等特殊架子搭设、安装完毕，必须经施工负责人、安全人员、使用班组共同验收合格后，方准使用。在拆除脚手架时，周围应设围栏或警戒标志，并设专人看管</w:t>
      </w:r>
      <w:r>
        <w:rPr>
          <w:rFonts w:hint="eastAsia" w:ascii="仿宋_GB2312"/>
          <w:sz w:val="21"/>
          <w:szCs w:val="21"/>
          <w:highlight w:val="none"/>
        </w:rPr>
        <w:t>，拆除顺序由上而下，一步一清，不准上下同时作业。</w:t>
      </w:r>
    </w:p>
    <w:p w14:paraId="7DAE431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2</w:t>
      </w:r>
      <w:r>
        <w:rPr>
          <w:rFonts w:hint="eastAsia" w:ascii="宋体" w:hAnsi="宋体"/>
          <w:sz w:val="21"/>
          <w:szCs w:val="21"/>
          <w:highlight w:val="none"/>
        </w:rPr>
        <w:t>、安全帽、安全带、安全网要有符合国家标准的出厂合格证，并要定期检查，不符合要求的，严禁使用。</w:t>
      </w:r>
      <w:r>
        <w:rPr>
          <w:rFonts w:hint="eastAsia" w:ascii="宋体" w:hAnsi="宋体"/>
          <w:sz w:val="21"/>
          <w:szCs w:val="21"/>
          <w:highlight w:val="none"/>
        </w:rPr>
        <w:br w:type="textWrapping"/>
      </w:r>
      <w:r>
        <w:rPr>
          <w:rFonts w:ascii="宋体" w:hAnsi="宋体"/>
          <w:sz w:val="21"/>
          <w:szCs w:val="21"/>
          <w:highlight w:val="none"/>
        </w:rPr>
        <w:t xml:space="preserve">    </w:t>
      </w:r>
      <w:r>
        <w:rPr>
          <w:rFonts w:hint="eastAsia" w:ascii="宋体" w:hAnsi="宋体"/>
          <w:sz w:val="21"/>
          <w:szCs w:val="21"/>
          <w:highlight w:val="none"/>
        </w:rPr>
        <w:t>2</w:t>
      </w:r>
      <w:r>
        <w:rPr>
          <w:rFonts w:hint="eastAsia" w:ascii="宋体" w:hAnsi="宋体"/>
          <w:sz w:val="21"/>
          <w:szCs w:val="21"/>
          <w:highlight w:val="none"/>
          <w:lang w:val="en-US" w:eastAsia="zh-CN"/>
        </w:rPr>
        <w:t>3</w:t>
      </w:r>
      <w:r>
        <w:rPr>
          <w:rFonts w:hint="eastAsia" w:ascii="宋体" w:hAnsi="宋体"/>
          <w:sz w:val="21"/>
          <w:szCs w:val="21"/>
          <w:highlight w:val="none"/>
        </w:rPr>
        <w:t>、钢管脚手不得使用有严重锈蚀、弯曲、压扁或裂纹的钢管；扣件要有出厂合格证明，有脆裂、变形、滑丝等的劣质品，禁止使用。</w:t>
      </w:r>
    </w:p>
    <w:p w14:paraId="17E2892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4</w:t>
      </w:r>
      <w:r>
        <w:rPr>
          <w:rFonts w:hint="eastAsia" w:ascii="宋体" w:hAnsi="宋体"/>
          <w:sz w:val="21"/>
          <w:szCs w:val="21"/>
          <w:highlight w:val="none"/>
        </w:rPr>
        <w:t>、砌墙高度超过4米时，必须在墙外搭设能承受160公斤荷重的安全网或防护挡板。多层建筑应在二层和每隔四层设一道固定安全网同时再设一道随施工高度提升的安全网。网应外高里低，网与网之间须拼接严密，网内杂物要随时</w:t>
      </w:r>
      <w:r>
        <w:rPr>
          <w:rFonts w:hint="eastAsia" w:ascii="仿宋_GB2312"/>
          <w:sz w:val="21"/>
          <w:szCs w:val="21"/>
          <w:highlight w:val="none"/>
        </w:rPr>
        <w:t>清扫。</w:t>
      </w:r>
    </w:p>
    <w:p w14:paraId="58CD248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5</w:t>
      </w:r>
      <w:r>
        <w:rPr>
          <w:rFonts w:hint="eastAsia" w:ascii="宋体" w:hAnsi="宋体"/>
          <w:sz w:val="21"/>
          <w:szCs w:val="21"/>
          <w:highlight w:val="none"/>
        </w:rPr>
        <w:t>、拆除脚手架和物料提升机应明确专人负责指挥，拆除前必须进行全面检查架体有无其他牵拉物，提升机与脚手架、建筑物连结情况等；拆除时指定专人警戒；拆除必须按搭设的逆顺序逐层自上而下进行，做到一步一清。严禁上下同时拆除。</w:t>
      </w:r>
    </w:p>
    <w:p w14:paraId="5CF92C9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6</w:t>
      </w:r>
      <w:r>
        <w:rPr>
          <w:rFonts w:hint="eastAsia" w:ascii="宋体" w:hAnsi="宋体"/>
          <w:sz w:val="21"/>
          <w:szCs w:val="21"/>
          <w:highlight w:val="none"/>
        </w:rPr>
        <w:t>、拆下的钢管、脚手片、扣件、密目型安全网等物体，应向下传递或用绳吊下，禁止往下抛拂。</w:t>
      </w:r>
    </w:p>
    <w:p w14:paraId="06052DE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7</w:t>
      </w:r>
      <w:r>
        <w:rPr>
          <w:rFonts w:hint="eastAsia" w:ascii="宋体" w:hAnsi="宋体"/>
          <w:sz w:val="21"/>
          <w:szCs w:val="21"/>
          <w:highlight w:val="none"/>
        </w:rPr>
        <w:t>、钢管、脚手片、扣件、安全网等分门别类，整齐堆放，挂设标牌。</w:t>
      </w:r>
    </w:p>
    <w:p w14:paraId="463E050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8</w:t>
      </w:r>
      <w:r>
        <w:rPr>
          <w:rFonts w:hint="eastAsia" w:ascii="宋体" w:hAnsi="宋体"/>
          <w:sz w:val="21"/>
          <w:szCs w:val="21"/>
          <w:highlight w:val="none"/>
        </w:rPr>
        <w:t>、脚手架搭设后，必须申请验收。</w:t>
      </w:r>
    </w:p>
    <w:p w14:paraId="35AEE3EA">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32" w:name="_Toc25520"/>
      <w:bookmarkStart w:id="33" w:name="_Toc20544"/>
      <w:bookmarkStart w:id="34" w:name="_Toc11390"/>
      <w:r>
        <w:rPr>
          <w:rFonts w:hint="eastAsia" w:ascii="宋体" w:hAnsi="宋体" w:cs="宋体"/>
          <w:b/>
          <w:bCs/>
          <w:sz w:val="21"/>
          <w:szCs w:val="21"/>
          <w:highlight w:val="none"/>
        </w:rPr>
        <w:t>第四节 起重工安全操作规程</w:t>
      </w:r>
      <w:bookmarkEnd w:id="32"/>
      <w:bookmarkEnd w:id="33"/>
      <w:bookmarkEnd w:id="34"/>
    </w:p>
    <w:p w14:paraId="7BB70086">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1、所有人员禁止在起重臂和吊起的重物下面停留或行走。</w:t>
      </w:r>
    </w:p>
    <w:p w14:paraId="0F63662D">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2、使用卡环应使用长度方向受力，抽销卡环应预防销子滑脱，有缺陷的卡环严禁使用。</w:t>
      </w:r>
    </w:p>
    <w:p w14:paraId="2ED3FDEC">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3、起重物件应使用交互捻制的钢丝绳。钢丝绳如有扭结、变形、断丝、锈蚀等异常现象，应及时降低使用标准或报废。</w:t>
      </w:r>
    </w:p>
    <w:p w14:paraId="737B9C03">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4、使用三根以上绳扣吊装时，绳扣间的夹角如大于100度，应采取防止滑钩等措施。</w:t>
      </w:r>
    </w:p>
    <w:p w14:paraId="1E9AB50A">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5、起吊物件，应合理设置溜绳。</w:t>
      </w:r>
    </w:p>
    <w:p w14:paraId="4C97C4B0">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6、司机必须听从指挥人员指挥，当指挥信号不明时。司机应发出“重复”信号询问，明确指挥意图后，方可开车。</w:t>
      </w:r>
    </w:p>
    <w:p w14:paraId="5AF456FE">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7、风力五级以上时停止吊装。</w:t>
      </w:r>
    </w:p>
    <w:p w14:paraId="0DB33554">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8、对起重机司机和指挥人员，必须由有关部门进行标准的安全技术培训。经考试合格，取得合格证后方能操作指挥。</w:t>
      </w:r>
    </w:p>
    <w:p w14:paraId="24490838">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eastAsia="黑体"/>
          <w:bCs/>
          <w:color w:val="000000"/>
          <w:sz w:val="21"/>
          <w:szCs w:val="21"/>
          <w:highlight w:val="none"/>
        </w:rPr>
      </w:pPr>
      <w:bookmarkStart w:id="35" w:name="_Toc13034"/>
      <w:bookmarkStart w:id="36" w:name="_Toc13903"/>
      <w:bookmarkStart w:id="37" w:name="_Toc15916"/>
      <w:r>
        <w:rPr>
          <w:rFonts w:hint="eastAsia" w:ascii="宋体" w:hAnsi="宋体" w:cs="宋体"/>
          <w:b/>
          <w:bCs/>
          <w:sz w:val="21"/>
          <w:szCs w:val="21"/>
          <w:highlight w:val="none"/>
        </w:rPr>
        <w:t>第五节 木工安全操作规程</w:t>
      </w:r>
      <w:bookmarkEnd w:id="35"/>
      <w:bookmarkEnd w:id="36"/>
      <w:bookmarkEnd w:id="37"/>
    </w:p>
    <w:p w14:paraId="62D95C1C">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仿宋_GB2312"/>
          <w:sz w:val="21"/>
          <w:szCs w:val="21"/>
          <w:highlight w:val="none"/>
        </w:rPr>
      </w:pPr>
      <w:r>
        <w:rPr>
          <w:rFonts w:hint="eastAsia" w:ascii="宋体" w:hAnsi="宋体"/>
          <w:color w:val="000000"/>
          <w:sz w:val="21"/>
          <w:szCs w:val="21"/>
          <w:highlight w:val="none"/>
        </w:rPr>
        <w:t>1、模板支撑不得使用腐朽、扭裂、劈裂的材料。顶撑要垂直，底端平整坚实，并加垫木。木楔要钉牢，并用横顺拉杆和剪刀撑拉牢。</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2、采用行架支模应严格检查，发现严重变形、螺栓松动等应及时修复。</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3、支模应按工序进行，模板没有固定前，不得进行下道工序。禁止利用拉杆、支撑攀登上下。</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4、支设4米以上的立柱模板，四周必须顶牢，操作时要搭设工作台，不足4米的，可使用马凳操作。</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5、支设独立梁、柱模应设临时工作台，不得站在柱模上操作和在梁模上行走。</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6、拆除模板应经施工技术人员同意。操作时应按顺序分段进行，严禁猛撬、硬砸或大面积撬落和拉倒。完工前，不得留下松动和悬挂的模板，拆下的模板应及时运送到指定地点集中堆放。</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7、拆除薄腹梁、吊车梁、行架等预制构件模板，应随拆随加顶撑支牢。</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8、在深度大于2米的基坑边操作，应有防护网、护身栏等防护措施。</w:t>
      </w:r>
    </w:p>
    <w:p w14:paraId="3C413D1D">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38" w:name="_Toc20452"/>
      <w:bookmarkStart w:id="39" w:name="_Toc8670"/>
      <w:bookmarkStart w:id="40" w:name="_Toc8955"/>
      <w:r>
        <w:rPr>
          <w:rFonts w:hint="eastAsia" w:ascii="宋体" w:hAnsi="宋体" w:cs="宋体"/>
          <w:b/>
          <w:bCs/>
          <w:sz w:val="21"/>
          <w:szCs w:val="21"/>
          <w:highlight w:val="none"/>
        </w:rPr>
        <w:t>第六节 钢筋工安全操作规程</w:t>
      </w:r>
      <w:bookmarkEnd w:id="38"/>
      <w:bookmarkEnd w:id="39"/>
      <w:bookmarkEnd w:id="40"/>
    </w:p>
    <w:p w14:paraId="334FDE9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1、钢材、半成品等应按规格、品种分别堆放整齐，制作场地要平整，工作台要稳固，照明灯具必须加网罩。</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2、拉直钢筋时，卡头要卡牢，地锚要结实牢固，拉筋沿线2米区域内禁止行人。人工绞磨拉直，不准用胸、肚接触推杠，应缓慢松解，不得一次松开。</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3、展开盘圆钢筋要一端卡牢，防止回弹，切断时要先用脚踩紧。</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4、多人合运钢筋，起、落、转、停等动作要一致，人工上下传送不得在同一垂直线上。钢筋堆放要分散、稳当，防止倾倒和塌落。 </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5、在高空、深坑绑扎钢筋和安装骨架，须搭设脚手架和马道。</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6、绑扎立柱、墙体钢筋时，不得站在钢筋骨架上和攀登骨架上下。</w:t>
      </w:r>
    </w:p>
    <w:p w14:paraId="7D2F512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hAnsi="_x000B__x000C_"/>
          <w:b/>
          <w:bCs/>
          <w:sz w:val="21"/>
          <w:szCs w:val="21"/>
          <w:highlight w:val="none"/>
        </w:rPr>
      </w:pPr>
      <w:r>
        <w:rPr>
          <w:rFonts w:hint="eastAsia" w:ascii="宋体" w:hAnsi="宋体"/>
          <w:color w:val="000000"/>
          <w:sz w:val="21"/>
          <w:szCs w:val="21"/>
          <w:highlight w:val="none"/>
        </w:rPr>
        <w:t>7</w:t>
      </w:r>
      <w:r>
        <w:rPr>
          <w:rFonts w:hint="eastAsia" w:ascii="宋体" w:hAnsi="宋体"/>
          <w:color w:val="000000"/>
          <w:sz w:val="21"/>
          <w:szCs w:val="21"/>
          <w:highlight w:val="none"/>
          <w:lang w:eastAsia="zh-CN"/>
        </w:rPr>
        <w:t>、</w:t>
      </w:r>
      <w:r>
        <w:rPr>
          <w:rFonts w:hint="eastAsia" w:ascii="宋体" w:hAnsi="宋体"/>
          <w:color w:val="000000"/>
          <w:sz w:val="21"/>
          <w:szCs w:val="21"/>
          <w:highlight w:val="none"/>
        </w:rPr>
        <w:t>绑扎基础钢筋时，应按施工设计规定摆放钢筋支架或马凳架起上部钢筋，不得任意减少支架或马凳。</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8、绑扎建筑高处的钢筋时，应根据具体情况安全网、挂安全带。</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9、起吊钢筋骨架时，下方禁止站人。必须待骨架降落到离地1米以内方准靠近，就位支撑好方可摘钩。 </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10、绑扎立柱、墙体钢筋时，不准将木棒或横木插入钢筋骨架内，并坐在木棒或横木上操作。钢筋超长时，捆扎应牢固。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hint="eastAsia" w:ascii="宋体" w:hAnsi="宋体"/>
          <w:color w:val="000000"/>
          <w:sz w:val="21"/>
          <w:szCs w:val="21"/>
          <w:highlight w:val="none"/>
          <w:lang w:val="en-US" w:eastAsia="zh-CN"/>
        </w:rPr>
        <w:t>11</w:t>
      </w:r>
      <w:r>
        <w:rPr>
          <w:rFonts w:hint="eastAsia" w:ascii="宋体" w:hAnsi="宋体"/>
          <w:color w:val="000000"/>
          <w:sz w:val="21"/>
          <w:szCs w:val="21"/>
          <w:highlight w:val="none"/>
        </w:rPr>
        <w:t>、在操作平台上堆放钢筋或物料应牢靠，操作工具不用时，必须装在工具袋内，以防坠物伤人。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12、使用钢筋冷拉机、切断机、弯曲机，应遵守钢筋机械安全技术操作规程，先检查后使用，使用后切断电源，设备应做好十字作业（清洁、润滑、调整、紧固、防腐）。 </w:t>
      </w:r>
    </w:p>
    <w:p w14:paraId="23AC25E3">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41" w:name="_Toc1899"/>
      <w:bookmarkStart w:id="42" w:name="_Toc17514"/>
      <w:bookmarkStart w:id="43" w:name="_Toc22841"/>
      <w:r>
        <w:rPr>
          <w:rFonts w:hint="eastAsia" w:ascii="宋体" w:hAnsi="宋体" w:cs="宋体"/>
          <w:b/>
          <w:bCs/>
          <w:sz w:val="21"/>
          <w:szCs w:val="21"/>
          <w:highlight w:val="none"/>
        </w:rPr>
        <w:t>第七节 混凝土工安全操作规程</w:t>
      </w:r>
      <w:bookmarkEnd w:id="41"/>
      <w:bookmarkEnd w:id="42"/>
      <w:bookmarkEnd w:id="43"/>
    </w:p>
    <w:p w14:paraId="63FF4FF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1、车子向料斗倒料，应有挡车措施，不得用力过猛和撒把。</w:t>
      </w:r>
    </w:p>
    <w:p w14:paraId="598FEAB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2、浇灌混凝土时，应设操作台，不得直接站在模板或支撑上操作。</w:t>
      </w:r>
    </w:p>
    <w:p w14:paraId="7DA2241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bCs/>
          <w:sz w:val="21"/>
          <w:szCs w:val="21"/>
          <w:highlight w:val="none"/>
        </w:rPr>
      </w:pPr>
      <w:r>
        <w:rPr>
          <w:rFonts w:hint="eastAsia" w:ascii="宋体" w:hAnsi="宋体"/>
          <w:color w:val="000000"/>
          <w:sz w:val="21"/>
          <w:szCs w:val="21"/>
          <w:highlight w:val="none"/>
        </w:rPr>
        <w:t>3、使用振动棒应穿胶鞋戴绝缘手套，湿手不得接触开关，电源线不得有破皮漏电。</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4、浇灌时使用的溜槽及串筒节间必须连接牢固。操作部位应有护身栏杆，不准直接站在溜槽板上操作。</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hint="eastAsia" w:ascii="宋体" w:hAnsi="宋体"/>
          <w:bCs/>
          <w:sz w:val="21"/>
          <w:szCs w:val="21"/>
          <w:highlight w:val="none"/>
        </w:rPr>
        <w:t xml:space="preserve">5、混凝土搅拌机在运行中，任何人不得将工具伸入筒内清料，进料斗升起时，严禁任何人在料斗下通过或停留。     </w:t>
      </w:r>
    </w:p>
    <w:p w14:paraId="1139A1F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bCs/>
          <w:sz w:val="21"/>
          <w:szCs w:val="21"/>
          <w:highlight w:val="none"/>
        </w:rPr>
      </w:pPr>
      <w:r>
        <w:rPr>
          <w:rFonts w:hint="eastAsia" w:ascii="宋体" w:hAnsi="宋体"/>
          <w:bCs/>
          <w:sz w:val="21"/>
          <w:szCs w:val="21"/>
          <w:highlight w:val="none"/>
        </w:rPr>
        <w:t>6、混凝土机停用时，升起的料斗应插上安全插销，或挂上保险链。</w:t>
      </w:r>
    </w:p>
    <w:p w14:paraId="5BEA8EB0">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44" w:name="_Toc6115"/>
      <w:bookmarkStart w:id="45" w:name="_Toc1069"/>
      <w:bookmarkStart w:id="46" w:name="_Toc12747"/>
      <w:r>
        <w:rPr>
          <w:rFonts w:hint="eastAsia" w:ascii="宋体" w:hAnsi="宋体" w:cs="宋体"/>
          <w:b/>
          <w:bCs/>
          <w:sz w:val="21"/>
          <w:szCs w:val="21"/>
          <w:highlight w:val="none"/>
        </w:rPr>
        <w:t>第八节 装载机安全驾驶操作规程</w:t>
      </w:r>
      <w:bookmarkEnd w:id="44"/>
      <w:bookmarkEnd w:id="45"/>
      <w:bookmarkEnd w:id="46"/>
    </w:p>
    <w:p w14:paraId="6A38994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一、检查车辆</w:t>
      </w:r>
    </w:p>
    <w:p w14:paraId="2B3F56F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1、检查燃油、冷却水及润滑油情况</w:t>
      </w:r>
    </w:p>
    <w:p w14:paraId="3016F60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2、检查行车、驻车制动可靠性。</w:t>
      </w:r>
    </w:p>
    <w:p w14:paraId="33AF250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3、检查空载时铲斗系统运行情况。</w:t>
      </w:r>
    </w:p>
    <w:p w14:paraId="334FCDB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4、检查叉车检查内容中与装载机有关的项目。  </w:t>
      </w:r>
    </w:p>
    <w:p w14:paraId="2A9EAEA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二、起步    </w:t>
      </w:r>
    </w:p>
    <w:p w14:paraId="794BC64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l、起步前观察四周，确认无妨碍安全行车的障碍后，先鸣笛，再起步。  </w:t>
      </w:r>
    </w:p>
    <w:p w14:paraId="393DD58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2、制动气压表读数达到规定值方可起步。</w:t>
      </w:r>
    </w:p>
    <w:p w14:paraId="785A1430">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3、起步时不得突然加速，应平稳起步。</w:t>
      </w:r>
    </w:p>
    <w:p w14:paraId="6A7D2E5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三、行驶</w:t>
      </w:r>
    </w:p>
    <w:p w14:paraId="2418B82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1、行驶前取下前后车体安全联接杆，并妥善保管。</w:t>
      </w:r>
    </w:p>
    <w:p w14:paraId="72B0CE3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2、在坡道上行驶时，应使拖起动操纵杆处于接通位置，拖起动必须是正向行驶。</w:t>
      </w:r>
    </w:p>
    <w:p w14:paraId="0D4754B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3、改变行驶方向及变换驱动操纵杆必须在车停后进行。</w:t>
      </w:r>
    </w:p>
    <w:p w14:paraId="7BB8A97F">
      <w:pPr>
        <w:pageBreakBefore w:val="0"/>
        <w:shd w:val="clear"/>
        <w:kinsoku/>
        <w:wordWrap/>
        <w:overflowPunct/>
        <w:autoSpaceDE/>
        <w:autoSpaceDN/>
        <w:bidi w:val="0"/>
        <w:adjustRightInd w:val="0"/>
        <w:snapToGrid w:val="0"/>
        <w:spacing w:line="360" w:lineRule="auto"/>
        <w:ind w:left="210" w:leftChars="100" w:firstLine="210" w:firstLineChars="100"/>
        <w:textAlignment w:val="auto"/>
        <w:rPr>
          <w:rFonts w:ascii="宋体" w:hAnsi="宋体"/>
          <w:sz w:val="21"/>
          <w:szCs w:val="21"/>
          <w:highlight w:val="none"/>
        </w:rPr>
      </w:pPr>
      <w:r>
        <w:rPr>
          <w:rFonts w:hint="eastAsia" w:ascii="宋体" w:hAnsi="宋体"/>
          <w:sz w:val="21"/>
          <w:szCs w:val="21"/>
          <w:highlight w:val="none"/>
        </w:rPr>
        <w:t>4、运载物料时，应保持动臂下铰点离地面400mm以上。不得将铲斗提升到最高位置运送物料。</w:t>
      </w:r>
    </w:p>
    <w:p w14:paraId="192A8C4B">
      <w:pPr>
        <w:pageBreakBefore w:val="0"/>
        <w:shd w:val="clear"/>
        <w:kinsoku/>
        <w:wordWrap/>
        <w:overflowPunct/>
        <w:autoSpaceDE/>
        <w:autoSpaceDN/>
        <w:bidi w:val="0"/>
        <w:adjustRightInd w:val="0"/>
        <w:snapToGrid w:val="0"/>
        <w:spacing w:line="360" w:lineRule="auto"/>
        <w:textAlignment w:val="auto"/>
        <w:rPr>
          <w:rFonts w:ascii="宋体" w:hAnsi="宋体"/>
          <w:sz w:val="21"/>
          <w:szCs w:val="21"/>
          <w:highlight w:val="none"/>
        </w:rPr>
      </w:pPr>
      <w:r>
        <w:rPr>
          <w:rFonts w:hint="eastAsia" w:ascii="宋体" w:hAnsi="宋体"/>
          <w:sz w:val="21"/>
          <w:szCs w:val="21"/>
          <w:highlight w:val="none"/>
        </w:rPr>
        <w:t xml:space="preserve">    5、应尽量避免在斜坡横向行驶及铲装物料。</w:t>
      </w:r>
    </w:p>
    <w:p w14:paraId="62D6A7B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四、装卸作业</w:t>
      </w:r>
    </w:p>
    <w:p w14:paraId="3336394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1、发动机的水温及润滑油温度达到规定值时方可进行全负，荷作业，当水温、油温超过363K(90℃)时应停车，查找原因，待水温低于363K(90℃)时方可作业，否则会损坏发动机。</w:t>
      </w:r>
    </w:p>
    <w:p w14:paraId="74CD46B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2、禁止在前后车体形成角度时铲装货物。取货前，应使前后车体形成直线，对正并靠近货堆，同时使铲斗平行接触地面，然后取货。</w:t>
      </w:r>
    </w:p>
    <w:p w14:paraId="014888A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3、除散粮以外，不准用高速档取货。</w:t>
      </w:r>
    </w:p>
    <w:p w14:paraId="5BF1B51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4、不准边行驶边起升铲斗。</w:t>
      </w:r>
    </w:p>
    <w:p w14:paraId="43EE9C2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5、铲斗铲装货物应均衡，不准铲斗偏重装载货物。</w:t>
      </w:r>
    </w:p>
    <w:p w14:paraId="1578342C">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rPr>
        <w:t>6、装载车是用来进行装载及短途运输散装物料的车辆，禁止用铲斗进行挖掘作业。</w:t>
      </w:r>
    </w:p>
    <w:p w14:paraId="2B0AE0D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7、驾驶员离车前，应将铲斗放到地面，禁止在铲斗悬空时驾驶员离车。</w:t>
      </w:r>
    </w:p>
    <w:p w14:paraId="44E8E6F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8、起升的铲斗下面严禁站人或进行检修作业。若必须在铲斗起升时检修车辆，应对铲斗采取支撑措施，并保证牢固可靠。</w:t>
      </w:r>
    </w:p>
    <w:p w14:paraId="69F6B8F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9、禁止用铲斗举升人员从事高处作业。</w:t>
      </w:r>
    </w:p>
    <w:p w14:paraId="55A7354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10、禁止在码头岸边直接铲装船上的物料。</w:t>
      </w:r>
    </w:p>
    <w:p w14:paraId="3F61450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11</w:t>
      </w:r>
      <w:r>
        <w:rPr>
          <w:rFonts w:hint="eastAsia" w:ascii="宋体" w:hAnsi="宋体"/>
          <w:sz w:val="21"/>
          <w:szCs w:val="21"/>
          <w:highlight w:val="none"/>
        </w:rPr>
        <w:t>、在架空管线下面作业，铲斗起升时应注意不要碰到上方的障碍物，在高压输电线路下面作业时，铲斗还应与输电线保持足够的安全距离。</w:t>
      </w:r>
    </w:p>
    <w:p w14:paraId="4CCE5FD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12、在为载重汽车倾卸物料，铲斗前翻时不得刮碰车辆，卸载动作要缓和。在卸车作业时，应注意铲斗不要刮碰车厢。在推运或刮平作业中，应随时观察运行情况，发现车辆前进受阻，应审慎操作，不得强行前进。</w:t>
      </w:r>
    </w:p>
    <w:p w14:paraId="6874FDF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13、停车后应将换向操纵杆放到中央位置，将前后车体安全联接杆安装好。</w:t>
      </w:r>
    </w:p>
    <w:p w14:paraId="7B024148">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47" w:name="_Toc23042"/>
      <w:bookmarkStart w:id="48" w:name="_Toc26422"/>
      <w:bookmarkStart w:id="49" w:name="_Toc7309"/>
      <w:r>
        <w:rPr>
          <w:rFonts w:hint="eastAsia" w:ascii="宋体" w:hAnsi="宋体" w:cs="宋体"/>
          <w:b/>
          <w:bCs/>
          <w:sz w:val="21"/>
          <w:szCs w:val="21"/>
          <w:highlight w:val="none"/>
        </w:rPr>
        <w:t>第九节 挖掘机安全驾驶操作规程</w:t>
      </w:r>
      <w:bookmarkEnd w:id="47"/>
      <w:bookmarkEnd w:id="48"/>
      <w:bookmarkEnd w:id="49"/>
    </w:p>
    <w:p w14:paraId="5267F43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一、检查车辆</w:t>
      </w:r>
    </w:p>
    <w:p w14:paraId="70F2788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按规定项目、标准检查挖掘机各部技术状况处于完好状态。</w:t>
      </w:r>
    </w:p>
    <w:p w14:paraId="50B189D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二、起步    </w:t>
      </w:r>
    </w:p>
    <w:p w14:paraId="1FD4344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eastAsia="zh-CN"/>
        </w:rPr>
        <w:t>、</w:t>
      </w:r>
      <w:r>
        <w:rPr>
          <w:rFonts w:hint="eastAsia" w:ascii="宋体" w:hAnsi="宋体"/>
          <w:sz w:val="21"/>
          <w:szCs w:val="21"/>
          <w:highlight w:val="none"/>
        </w:rPr>
        <w:t>起步前，应将铲斗放在车架上，：收回长杆，插好平台与车架的固定插销，支腿处于可靠的收回状态；插好连接平台与车架电路的插头，接通电源，确认各仪表指示正常。</w:t>
      </w:r>
    </w:p>
    <w:p w14:paraId="54E9E35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eastAsia="zh-CN"/>
        </w:rPr>
        <w:t>、</w:t>
      </w:r>
      <w:r>
        <w:rPr>
          <w:rFonts w:hint="eastAsia" w:ascii="宋体" w:hAnsi="宋体"/>
          <w:sz w:val="21"/>
          <w:szCs w:val="21"/>
          <w:highlight w:val="none"/>
        </w:rPr>
        <w:t>起步时应先观察四周，先鸣笛，后起步，以防伤人。</w:t>
      </w:r>
    </w:p>
    <w:p w14:paraId="4E90C99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w:t>
      </w:r>
      <w:r>
        <w:rPr>
          <w:rFonts w:hint="eastAsia" w:ascii="宋体" w:hAnsi="宋体"/>
          <w:sz w:val="21"/>
          <w:szCs w:val="21"/>
          <w:highlight w:val="none"/>
          <w:lang w:eastAsia="zh-CN"/>
        </w:rPr>
        <w:t>、</w:t>
      </w:r>
      <w:r>
        <w:rPr>
          <w:rFonts w:hint="eastAsia" w:ascii="宋体" w:hAnsi="宋体"/>
          <w:sz w:val="21"/>
          <w:szCs w:val="21"/>
          <w:highlight w:val="none"/>
        </w:rPr>
        <w:t>挖掘机移动时；应注意前后环境状况，以防碰到电线或其它设施。</w:t>
      </w:r>
    </w:p>
    <w:p w14:paraId="3A635EA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三、行驶</w:t>
      </w:r>
    </w:p>
    <w:p w14:paraId="6A6D73A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eastAsia="zh-CN"/>
        </w:rPr>
        <w:t>、</w:t>
      </w:r>
      <w:r>
        <w:rPr>
          <w:rFonts w:hint="eastAsia" w:ascii="宋体" w:hAnsi="宋体"/>
          <w:sz w:val="21"/>
          <w:szCs w:val="21"/>
          <w:highlight w:val="none"/>
        </w:rPr>
        <w:t>下坡行驶时，严禁发动机熄火滑行和空档滑行。</w:t>
      </w:r>
    </w:p>
    <w:p w14:paraId="45AFD74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不得在斜坡路面上横向行驶。</w:t>
      </w:r>
    </w:p>
    <w:p w14:paraId="1100C7E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严禁在铲斗内载人、载物行驶。</w:t>
      </w:r>
    </w:p>
    <w:p w14:paraId="745566B6">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 xml:space="preserve">通过泥泞、冰雪、松软路面以及坡度较大的道路时，应使前、后桥同时驱动。 </w:t>
      </w:r>
    </w:p>
    <w:p w14:paraId="055C189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恶劣天气能见度在5m以内或道路最大纵坡在6％以上，能见度在10m以内时，应停止行驶。</w:t>
      </w:r>
    </w:p>
    <w:p w14:paraId="6622F8F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四、进入作业现场</w:t>
      </w:r>
    </w:p>
    <w:p w14:paraId="1E1C424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停机处的地面应平整、坚实可靠。</w:t>
      </w:r>
    </w:p>
    <w:p w14:paraId="10904FB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铲斗回转半径范围内不应有其它设施妨碍铲斗作业。</w:t>
      </w:r>
    </w:p>
    <w:p w14:paraId="722F5E38">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严禁铲斗回转半径范围内有人员停留。</w:t>
      </w:r>
    </w:p>
    <w:p w14:paraId="04F92BA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应尽量避免在高压输电线路下面作业。无法避免在高压输电线路下面作业时，铲斗与电线间的安全距离应符合有关规定。</w:t>
      </w:r>
    </w:p>
    <w:p w14:paraId="31901A6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若需挖掘机边移动边挖掘时，应选择无碍安全的挖掘路线，否则须采取安全措施后方可进行作业。</w:t>
      </w:r>
    </w:p>
    <w:p w14:paraId="05251A6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五、挖掘作业</w:t>
      </w:r>
    </w:p>
    <w:p w14:paraId="30A6F0E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作业时应将支腿支稳垫牢，后轮胎略为离地；将前后轮制动，并将平台周围无关物品清除干净。</w:t>
      </w:r>
    </w:p>
    <w:p w14:paraId="2DB2F1B9">
      <w:pPr>
        <w:pageBreakBefore w:val="0"/>
        <w:shd w:val="clear"/>
        <w:kinsoku/>
        <w:wordWrap/>
        <w:overflowPunct/>
        <w:autoSpaceDE/>
        <w:autoSpaceDN/>
        <w:bidi w:val="0"/>
        <w:adjustRightInd w:val="0"/>
        <w:snapToGrid w:val="0"/>
        <w:spacing w:line="360" w:lineRule="auto"/>
        <w:ind w:firstLine="210" w:firstLineChars="100"/>
        <w:textAlignment w:val="auto"/>
        <w:rPr>
          <w:rFonts w:ascii="宋体" w:hAnsi="宋体"/>
          <w:sz w:val="21"/>
          <w:szCs w:val="21"/>
          <w:highlight w:val="none"/>
        </w:rPr>
      </w:pP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2、</w:t>
      </w:r>
      <w:r>
        <w:rPr>
          <w:rFonts w:hint="eastAsia" w:ascii="宋体" w:hAnsi="宋体"/>
          <w:sz w:val="21"/>
          <w:szCs w:val="21"/>
          <w:highlight w:val="none"/>
        </w:rPr>
        <w:t>在开挖前应该检查公用地下设施(管道，电缆等)的位置。不允许挖掘机在还需要保留的地下设施附近作业。</w:t>
      </w:r>
    </w:p>
    <w:p w14:paraId="5D57816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挖出的沟土不应抛到沟边，应随挖随将土运走。</w:t>
      </w:r>
    </w:p>
    <w:p w14:paraId="64EEF44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如有两台挖掘机同时作业时，互相应保持一定的安全距离，防止臂架相互碰撞。</w:t>
      </w:r>
    </w:p>
    <w:p w14:paraId="42A67355">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 xml:space="preserve"> 在斜坡上作业时，要用铰盘钢丝绳将挖掘机拖住。</w:t>
      </w:r>
    </w:p>
    <w:p w14:paraId="2610CFF9">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铲斗落地和升起操作不得过猛；平台的起动、回转、停止等操作应缓慢平稳；卸料时，铲斗不得经越或停留在运输车辆驾驶室的上方，铲斗不得与车辆的任何部位接触。</w:t>
      </w:r>
    </w:p>
    <w:p w14:paraId="28A10F8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7、</w:t>
      </w:r>
      <w:r>
        <w:rPr>
          <w:rFonts w:hint="eastAsia" w:ascii="宋体" w:hAnsi="宋体"/>
          <w:sz w:val="21"/>
          <w:szCs w:val="21"/>
          <w:highlight w:val="none"/>
        </w:rPr>
        <w:t xml:space="preserve"> 挖掘机在挖比较深的基槽、地沟时，机身窝边口应不少于3m，并用坚木垫实机身，方可进行作业。</w:t>
      </w:r>
    </w:p>
    <w:p w14:paraId="0F5BCD3E">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sz w:val="21"/>
          <w:szCs w:val="21"/>
          <w:highlight w:val="none"/>
        </w:rPr>
      </w:pPr>
      <w:bookmarkStart w:id="50" w:name="_Toc12038"/>
      <w:bookmarkStart w:id="51" w:name="_Toc28105"/>
      <w:bookmarkStart w:id="52" w:name="_Toc27549"/>
      <w:r>
        <w:rPr>
          <w:rFonts w:hint="eastAsia" w:ascii="宋体" w:hAnsi="宋体" w:cs="宋体"/>
          <w:b/>
          <w:bCs/>
          <w:sz w:val="21"/>
          <w:szCs w:val="21"/>
          <w:highlight w:val="none"/>
        </w:rPr>
        <w:t>第十节 推土机安全驾驶操作规程</w:t>
      </w:r>
      <w:bookmarkEnd w:id="50"/>
      <w:bookmarkEnd w:id="51"/>
      <w:bookmarkEnd w:id="52"/>
    </w:p>
    <w:p w14:paraId="0C564E9D">
      <w:pPr>
        <w:pageBreakBefore w:val="0"/>
        <w:shd w:val="clear"/>
        <w:kinsoku/>
        <w:wordWrap/>
        <w:overflowPunct/>
        <w:autoSpaceDE/>
        <w:autoSpaceDN/>
        <w:bidi w:val="0"/>
        <w:adjustRightInd w:val="0"/>
        <w:snapToGrid w:val="0"/>
        <w:spacing w:line="360" w:lineRule="auto"/>
        <w:ind w:left="105" w:leftChars="50" w:firstLine="420" w:firstLineChars="200"/>
        <w:textAlignment w:val="auto"/>
        <w:rPr>
          <w:rFonts w:ascii="宋体" w:hAnsi="宋体"/>
          <w:sz w:val="21"/>
          <w:szCs w:val="21"/>
          <w:highlight w:val="none"/>
        </w:rPr>
      </w:pPr>
      <w:r>
        <w:rPr>
          <w:rFonts w:hint="eastAsia" w:ascii="宋体" w:hAnsi="宋体"/>
          <w:sz w:val="21"/>
          <w:szCs w:val="21"/>
          <w:highlight w:val="none"/>
        </w:rPr>
        <w:t>推土机的行走部分是由履带来完成的，它实际上是由履带式拖拉机加上推土铲组装而成，它的作用主要是在施工现场推平地面。</w:t>
      </w:r>
    </w:p>
    <w:p w14:paraId="598D7E6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一、检查车辆</w:t>
      </w:r>
    </w:p>
    <w:p w14:paraId="6A00743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检查车辆燃油、冷却水、润滑油情况。</w:t>
      </w:r>
    </w:p>
    <w:p w14:paraId="5FBBCD6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 xml:space="preserve">检查履带销钉有无窜出现象。  </w:t>
      </w:r>
    </w:p>
    <w:p w14:paraId="0AEC6FA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检查推土铲运转情况。</w:t>
      </w:r>
    </w:p>
    <w:p w14:paraId="1060633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检查液压系统运行及密封件的漏油情况。</w:t>
      </w:r>
    </w:p>
    <w:p w14:paraId="287BD6D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运行时，随时注意车辆的压力及温度。</w:t>
      </w:r>
    </w:p>
    <w:p w14:paraId="6F04370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二、起步</w:t>
      </w:r>
    </w:p>
    <w:p w14:paraId="3CE499D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起步前观察四周是否有人，尤其是倒车时更应加强观察，同时应观察履带上是否有其它物品，确认安全后，应低速、平稳起步。</w:t>
      </w:r>
    </w:p>
    <w:p w14:paraId="348F66B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三、作业   </w:t>
      </w:r>
    </w:p>
    <w:p w14:paraId="0C72E2F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作业时应选择适宜的铲推路线，在清理作业现场时，应能保证车辆无下陷、倾覆等危险。</w:t>
      </w:r>
    </w:p>
    <w:p w14:paraId="5D2F18FB">
      <w:pPr>
        <w:pageBreakBefore w:val="0"/>
        <w:shd w:val="clear"/>
        <w:kinsoku/>
        <w:wordWrap/>
        <w:overflowPunct/>
        <w:autoSpaceDE/>
        <w:autoSpaceDN/>
        <w:bidi w:val="0"/>
        <w:adjustRightInd w:val="0"/>
        <w:snapToGrid w:val="0"/>
        <w:spacing w:line="360" w:lineRule="auto"/>
        <w:ind w:left="76" w:leftChars="36"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在向高坡(或坑、沟)推土接近边缘时，推土铲不得轻易提升，应在挂上倒车档后，提铲倒车。</w:t>
      </w:r>
    </w:p>
    <w:p w14:paraId="2FC19E26">
      <w:pPr>
        <w:pageBreakBefore w:val="0"/>
        <w:shd w:val="clear"/>
        <w:kinsoku/>
        <w:wordWrap/>
        <w:overflowPunct/>
        <w:autoSpaceDE/>
        <w:autoSpaceDN/>
        <w:bidi w:val="0"/>
        <w:adjustRightInd w:val="0"/>
        <w:snapToGrid w:val="0"/>
        <w:spacing w:line="360" w:lineRule="auto"/>
        <w:ind w:left="76" w:leftChars="36"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推土机上坡行驶不得超过25°，下坡行驶不得超过35°，推土机不得在坡度大于10°的坡路上横向作业，并不得在陡坡上进行转弯。下坡行驶不准空档滑行。</w:t>
      </w:r>
    </w:p>
    <w:p w14:paraId="4B2DAF12">
      <w:pPr>
        <w:pageBreakBefore w:val="0"/>
        <w:shd w:val="clear"/>
        <w:kinsoku/>
        <w:wordWrap/>
        <w:overflowPunct/>
        <w:autoSpaceDE/>
        <w:autoSpaceDN/>
        <w:bidi w:val="0"/>
        <w:adjustRightInd w:val="0"/>
        <w:snapToGrid w:val="0"/>
        <w:spacing w:line="360" w:lineRule="auto"/>
        <w:ind w:left="134" w:leftChars="64"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用推土机清除高于机体并埋在地下的物体时，应有安全防范措施，要在选择好有利的进退路线后，方可作业。</w:t>
      </w:r>
    </w:p>
    <w:p w14:paraId="16F2711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 </w:t>
      </w:r>
      <w:r>
        <w:rPr>
          <w:rFonts w:hint="eastAsia" w:ascii="宋体" w:hAnsi="宋体"/>
          <w:sz w:val="21"/>
          <w:szCs w:val="21"/>
          <w:highlight w:val="none"/>
          <w:lang w:val="en-US" w:eastAsia="zh-CN"/>
        </w:rPr>
        <w:t>5、</w:t>
      </w:r>
      <w:r>
        <w:rPr>
          <w:rFonts w:hint="eastAsia" w:ascii="宋体" w:hAnsi="宋体"/>
          <w:sz w:val="21"/>
          <w:szCs w:val="21"/>
          <w:highlight w:val="none"/>
        </w:rPr>
        <w:t>夜间作业时，现场应有良好的照明。</w:t>
      </w:r>
    </w:p>
    <w:p w14:paraId="5F37526A">
      <w:pPr>
        <w:pageBreakBefore w:val="0"/>
        <w:shd w:val="clear"/>
        <w:kinsoku/>
        <w:wordWrap/>
        <w:overflowPunct/>
        <w:autoSpaceDE/>
        <w:autoSpaceDN/>
        <w:bidi w:val="0"/>
        <w:adjustRightInd w:val="0"/>
        <w:snapToGrid w:val="0"/>
        <w:spacing w:line="360" w:lineRule="auto"/>
        <w:ind w:left="149" w:leftChars="71"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推土机在作业时，严禁人员上下。</w:t>
      </w:r>
    </w:p>
    <w:p w14:paraId="32BC4C99">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53" w:name="_Toc1792"/>
      <w:bookmarkStart w:id="54" w:name="_Toc15362"/>
      <w:bookmarkStart w:id="55" w:name="_Toc2643"/>
      <w:r>
        <w:rPr>
          <w:rFonts w:hint="eastAsia" w:ascii="宋体" w:hAnsi="宋体" w:cs="宋体"/>
          <w:b/>
          <w:bCs/>
          <w:sz w:val="21"/>
          <w:szCs w:val="21"/>
          <w:highlight w:val="none"/>
        </w:rPr>
        <w:t>第十一节 机械操作工安全操作规程</w:t>
      </w:r>
      <w:bookmarkEnd w:id="53"/>
      <w:bookmarkEnd w:id="54"/>
      <w:bookmarkEnd w:id="55"/>
    </w:p>
    <w:p w14:paraId="5ABECBF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（一）压刨、园盘锯安全操作规程</w:t>
      </w:r>
    </w:p>
    <w:p w14:paraId="656F869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1、机床只准采用单向开关，不准使用倒顺双向开关，三、四面刨，要按规定程序开动。</w:t>
      </w:r>
    </w:p>
    <w:p w14:paraId="06E56F6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2、送料、接料不准戴手套，并应站在机床一侧</w:t>
      </w:r>
      <w:r>
        <w:rPr>
          <w:rFonts w:ascii="仿宋_GB2312"/>
          <w:sz w:val="21"/>
          <w:szCs w:val="21"/>
          <w:highlight w:val="none"/>
        </w:rPr>
        <w:t>,</w:t>
      </w:r>
      <w:r>
        <w:rPr>
          <w:rFonts w:hint="eastAsia" w:ascii="仿宋_GB2312"/>
          <w:sz w:val="21"/>
          <w:szCs w:val="21"/>
          <w:highlight w:val="none"/>
        </w:rPr>
        <w:t>刨削量每次不得超过5mm。</w:t>
      </w:r>
    </w:p>
    <w:p w14:paraId="69D1E13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3、必须平直发现料走横或卡住，应停机降低台面拨正，遇硬节减慢速度，送料时手必须离开滚筒10厘米以外，接料必须待料走出台面。</w:t>
      </w:r>
    </w:p>
    <w:p w14:paraId="1F95C37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4、料长度不得短于前后压滚距离；厚度小于l厘米的木料，必须垫托板。</w:t>
      </w:r>
    </w:p>
    <w:p w14:paraId="063B298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5、锯护罩要齐全，不得随意拆除。</w:t>
      </w:r>
    </w:p>
    <w:p w14:paraId="6E49BA9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6、操作前应进行检查，锯片不得有裂口，螺丝应上紧。</w:t>
      </w:r>
    </w:p>
    <w:p w14:paraId="5EF1EC5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7、操作要戴防护镜，站在锯片一侧，禁止站在锯片同一直线上，手臂不得跨越锯片。遇硬节慢推，接料要待料出锯片15厘米，不得用手硬拉。</w:t>
      </w:r>
    </w:p>
    <w:p w14:paraId="4CA5F77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8、短窄料应用推棍，接料使用刨钩。</w:t>
      </w:r>
    </w:p>
    <w:p w14:paraId="66A8C1D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（二）钢筋冷拉机安全操作规程</w:t>
      </w:r>
    </w:p>
    <w:p w14:paraId="2296313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1、根据冷拉钢筋的直径，合理选用卷扬机，卷扬钢丝绳应经封闭式导向滑轮并和被拉钢筋方向成直角。卷扬机的位置必须使操作人员能见到全部冷拉场地，距离冷拉中线不少于5m。</w:t>
      </w:r>
    </w:p>
    <w:p w14:paraId="2AEAE78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2、冷拉场地在两端地锚外侧设置警戒区，装设防护栏杆及警告标志。严禁无关人员在此停留。操作人员在作业时必须离开钢筋至少2m以外。</w:t>
      </w:r>
    </w:p>
    <w:p w14:paraId="0B2B3D8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3、用配重控制的设备必须与滑轮匹配，并有指示起落的记号，没有指示记号时应有专人指挥。配重物提起时高度应限制在离地面300mm以内，配重架四周应有栏杆及警告标志。</w:t>
      </w:r>
    </w:p>
    <w:p w14:paraId="30F9DD0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4、作业前，应检查冷拉夹具，夹齿必须完好，滑轮、拖拉小车润滑灵活，拉钩、地锚及防护装置均应齐全牢固，确认良好后，方可作业。</w:t>
      </w:r>
    </w:p>
    <w:p w14:paraId="2FC726A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5、卷扬机操作人员必须看到指挥人员发出信号，并待所有人员离开危险区后方可作业。冷拉应缓慢、均匀地进行，随时注意停车信号或见到有人进入危险区时，应立即停拉，并稍稍放松卷扬钢丝绳。</w:t>
      </w:r>
    </w:p>
    <w:p w14:paraId="0016876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6、用延伸率控制的装置，必须装明显的限位标志，并要有专人负责指挥。</w:t>
      </w:r>
    </w:p>
    <w:p w14:paraId="606AD61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7、夜间工作照明设施，应设在张拉危险区外，如必须装设在场地上空时，其高度应超过5m，灯泡应加防护罩，导线不得用裸线。</w:t>
      </w:r>
    </w:p>
    <w:p w14:paraId="6AB9AD7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8、作业后，应放松卷扬钢丝绳，落下配重，切断电源，锁好电闸箱。</w:t>
      </w:r>
    </w:p>
    <w:p w14:paraId="42CECD6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（三）钢筋切断机安全操作规程</w:t>
      </w:r>
    </w:p>
    <w:p w14:paraId="2352D11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1、接送料工作台面应和切刀下部保持水平，工作台的长度可根据加工材料长度决定。</w:t>
      </w:r>
    </w:p>
    <w:p w14:paraId="3C7D388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2、启动前，必须检查切刀应无裂纹，刀架螺栓紧固，防护罩牢靠，然后用手转动皮带轮，检查齿轮啮合间隙，调整切刀间隙。</w:t>
      </w:r>
    </w:p>
    <w:p w14:paraId="491381E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3、启动后先空转，检查各传动部分及轴承运转正常后方可作业。</w:t>
      </w:r>
    </w:p>
    <w:p w14:paraId="37CD6DF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4、机械未达到正常运转速时不得切料，切料时必须使用切刀的中下部位，紧握钢筋对准切口迅速送入。</w:t>
      </w:r>
    </w:p>
    <w:p w14:paraId="644D930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5、切断短料时，手和切刀之间的距离应保持150mm以上，如手握端小于40mm时应用套管或夹具将钢筋短头压住或夹牢。</w:t>
      </w:r>
    </w:p>
    <w:p w14:paraId="2D2588D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6、发现机械运转不正常有异响或切刀歪斜等情况，应立即停机检修。</w:t>
      </w:r>
    </w:p>
    <w:p w14:paraId="51C3314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7、作业后用钢刷清除切刀间的杂物，进行整机清洁保养。</w:t>
      </w:r>
    </w:p>
    <w:p w14:paraId="1346C87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8、必须严格按操作规程操作。</w:t>
      </w:r>
    </w:p>
    <w:p w14:paraId="3EFEFFF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（四）钢筋调直机安全操作规程</w:t>
      </w:r>
    </w:p>
    <w:p w14:paraId="10F9FA1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1、机械上不准堆放物品，以防机械震动落入机体。</w:t>
      </w:r>
    </w:p>
    <w:p w14:paraId="7070EFD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2、料架、料槽应安装平直，对准导向筒、调直筒和下切刀孔的中心线。</w:t>
      </w:r>
    </w:p>
    <w:p w14:paraId="160BEB6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3、用手转动飞轮，检查传动机构和工作装置，调整间隙，紧固螺栓，确认正常后，启动空运转，检查轴承应无异响，齿轮啮合良好，待运转正常后，方可作业。</w:t>
      </w:r>
    </w:p>
    <w:p w14:paraId="0326909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4、按调直钢筋的直径，选用适当的调直块及传动速度。经调试合格，方可送料。</w:t>
      </w:r>
    </w:p>
    <w:p w14:paraId="104FC9D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5、在调直块未固定、防护罩未盖好前不得送料。作业中严禁打开各部防护罩及调整间隙。</w:t>
      </w:r>
    </w:p>
    <w:p w14:paraId="539EB78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6、当钢筋送入后，手与曳轮必须保持一定距离，不得接近。  </w:t>
      </w:r>
    </w:p>
    <w:p w14:paraId="7D5A283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7、送料前应将不直的料头切去，导向筒前应装一根1m长的钢管，钢筋必须先穿过钢管再送入调直前端的导孔内。</w:t>
      </w:r>
    </w:p>
    <w:p w14:paraId="31855BC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8、钢筋调直到末端时，操作人员必须躲开，以防甩动伤人。</w:t>
      </w:r>
    </w:p>
    <w:p w14:paraId="46B0DDE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9、短于2米或直径大于9毫米的钢筋调直，应低速加工。</w:t>
      </w:r>
    </w:p>
    <w:p w14:paraId="380D707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10、作业后，应松开调直筒的调直块并回到原来位置，同时预压弹簧必须回位。</w:t>
      </w:r>
    </w:p>
    <w:p w14:paraId="6EB29CD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（五）钢筋弯曲机安全操作规程</w:t>
      </w:r>
    </w:p>
    <w:p w14:paraId="38A408D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1、工作台和弯曲机台面要保持水平，并准备好各种芯轴及工具。</w:t>
      </w:r>
    </w:p>
    <w:p w14:paraId="56BAE24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2、按加工钢筋的直径和弯曲半径的要求装好芯轴、成型轴、挡铁轴或可变挡架，芯轴直径应为钢筋直径的2.5倍。</w:t>
      </w:r>
    </w:p>
    <w:p w14:paraId="2E6AFA5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3、检查芯轴、挡块、转盘应无损坏和裂纹，防护罩紧固可靠，经空运转确认正常后，方可作业。</w:t>
      </w:r>
    </w:p>
    <w:p w14:paraId="1026FF5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4、钢筋要贴紧挡板，注意放入插头的位置和回转方向，不得开错。</w:t>
      </w:r>
    </w:p>
    <w:p w14:paraId="6DA7864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5、作业时，将钢筋需弯的一头插在转盘固定销的间隙内，另一端紧靠机身固定销，并用手压紧，检查机身固定销子确实安在挡住钢筋的一侧，方可开动。  </w:t>
      </w:r>
    </w:p>
    <w:p w14:paraId="56FC0F1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6、作业中，严禁更换芯轴、销子和变换角度以及调速等作业，亦不得加油或清扫。</w:t>
      </w:r>
    </w:p>
    <w:p w14:paraId="45C120E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7、弯曲钢筋时，严禁超过本机规定的钢筋直径、根数及机械转速。</w:t>
      </w:r>
    </w:p>
    <w:p w14:paraId="03C1320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8、弯曲长钢筋，应有专人扶住，并站在钢筋弯曲方向的外面，互相配合，不得拖拉。</w:t>
      </w:r>
    </w:p>
    <w:p w14:paraId="68DD530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9、调头弯曲，防止碰撞人和物。更换插头，加油和清理，必须停机后进行。</w:t>
      </w:r>
    </w:p>
    <w:p w14:paraId="33360BE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10、弯曲高强度或低合金钢筋时，应按机械铭牌规定换算最大限制直径并调换相应的芯轴。</w:t>
      </w:r>
    </w:p>
    <w:p w14:paraId="542E571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lang w:val="en-US" w:eastAsia="zh-CN"/>
        </w:rPr>
        <w:t>11</w:t>
      </w:r>
      <w:r>
        <w:rPr>
          <w:rFonts w:hint="eastAsia" w:ascii="仿宋_GB2312"/>
          <w:sz w:val="21"/>
          <w:szCs w:val="21"/>
          <w:highlight w:val="none"/>
        </w:rPr>
        <w:t>、严禁在弯曲钢筋的作业半径内和机身不设固定销的一侧站人。弯曲好的半成品应堆放整齐，弯钩不得朝上。</w:t>
      </w:r>
    </w:p>
    <w:p w14:paraId="38662C0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12、转盘换向时，必须在停稳后进行。</w:t>
      </w:r>
    </w:p>
    <w:p w14:paraId="0B369CE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b/>
          <w:bCs/>
          <w:sz w:val="21"/>
          <w:szCs w:val="21"/>
          <w:highlight w:val="none"/>
        </w:rPr>
        <w:t>（六）钢筋电渣压力焊机安全操作规程</w:t>
      </w:r>
    </w:p>
    <w:p w14:paraId="6BB0933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1、应根据施焊钢筋直径选择具有足够输出电流的电焊机。电源电缆和控制电缆联接应正确、牢固。控制箱的外壳应牢靠接地。</w:t>
      </w:r>
    </w:p>
    <w:p w14:paraId="39671D2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2、施焊前，应检查供电电压并确认正常，当一次电压降大于8％时，不宜焊接。焊接导线长度不得大于30m，截面面积不得小于50mm</w:t>
      </w:r>
      <w:r>
        <w:rPr>
          <w:rFonts w:hint="eastAsia" w:ascii="仿宋_GB2312"/>
          <w:sz w:val="21"/>
          <w:szCs w:val="21"/>
          <w:highlight w:val="none"/>
          <w:vertAlign w:val="superscript"/>
        </w:rPr>
        <w:t>2</w:t>
      </w:r>
      <w:r>
        <w:rPr>
          <w:rFonts w:hint="eastAsia" w:ascii="仿宋_GB2312"/>
          <w:sz w:val="21"/>
          <w:szCs w:val="21"/>
          <w:highlight w:val="none"/>
        </w:rPr>
        <w:t>。</w:t>
      </w:r>
    </w:p>
    <w:p w14:paraId="52853B4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3、施焊前应检查并确认电源及控制电路正常，定时准确，误差不大于5％，机具的传动系统、夹装系统及焊钳的转动部分灵活自如，焊剂已干燥，所需附件齐全。</w:t>
      </w:r>
    </w:p>
    <w:p w14:paraId="3A63EA3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4、施焊前，应按所焊钢筋的直径，根据参数表，标定好所需的电源和时间。一般情况下，时间(s)可为钢筋的直径数(mm)，电流(A)可为钢筋直径的10倍数(mm)。</w:t>
      </w:r>
    </w:p>
    <w:p w14:paraId="1E0C01C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5、起弧前，上、下钢筋应对齐，钢筋端头应接触良好。对锈蚀粘有水泥的钢筋，应采用钢丝刷清除，并保证导电良好。 </w:t>
      </w:r>
    </w:p>
    <w:p w14:paraId="6F75856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6、施焊过程中，应随时检查焊接质量，当发现倾斜、偏心、未熔合、有气孔等现象时，应重新施焊。</w:t>
      </w:r>
    </w:p>
    <w:p w14:paraId="605FEF0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7、每个接头焊完后，应停留5～6min保温；寒冷季节应适当延长。当拆下机具时，应扶住钢筋，过热的接头不得过于受力。焊渣应待完全冷却后清除。</w:t>
      </w:r>
    </w:p>
    <w:p w14:paraId="2321FF0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（七）卷扬机安全操作规程</w:t>
      </w:r>
    </w:p>
    <w:p w14:paraId="51EC8B9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w:t>
      </w:r>
      <w:r>
        <w:rPr>
          <w:rFonts w:hint="eastAsia"/>
          <w:sz w:val="21"/>
          <w:szCs w:val="21"/>
          <w:highlight w:val="none"/>
        </w:rPr>
        <w:t>卷</w:t>
      </w:r>
      <w:r>
        <w:rPr>
          <w:rFonts w:hint="eastAsia" w:ascii="仿宋_GB2312"/>
          <w:sz w:val="21"/>
          <w:szCs w:val="21"/>
          <w:highlight w:val="none"/>
        </w:rPr>
        <w:t>扬机操作手必须熟悉本机械的性能、构造、操作方法。持证上岗。</w:t>
      </w:r>
    </w:p>
    <w:p w14:paraId="3F9A23D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2、操作前，要检查卷扬机的地锚、上料架是否牢固，同时要检查离合器、制动器是否灵敏可靠。外露皮带、齿轮等传动装置、防护罩是否齐全。</w:t>
      </w:r>
    </w:p>
    <w:p w14:paraId="13972EE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3、钢丝绳排列要整齐，在提升吊兰的过程中，在卷筒上  至少要保留3～5圈，钢丝绳的磨损程度不超过10％，通过滑轮的钢丝绳不能有接头。 </w:t>
      </w:r>
    </w:p>
    <w:p w14:paraId="0BBCE46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4、卷扬机应有专人使用和保养，经常检查接地线路是否良好，如发现电气设备漏电或其他故障时及时报告工长。不得擅自修理。</w:t>
      </w:r>
    </w:p>
    <w:p w14:paraId="43B31C6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5、吊篮必须装有安全门，只能提升物料，严禁载人。吊篮在空中停留，除使用制动器外，同时要用停放架垫好。严禁有人跨越钢丝绳在吊篮下面行走。</w:t>
      </w:r>
    </w:p>
    <w:p w14:paraId="1055651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6、上料架必须有良好的接地和避雷装置。每周要检查一次限位器是否灵活可靠。吊篮提重物时，砖、灰不能超过0.5吨，严禁运送超重、超长物品。</w:t>
      </w:r>
    </w:p>
    <w:p w14:paraId="60CDD1D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7、作业中停电时，应切断电源。将提升物件或吊兰篮降至地面。</w:t>
      </w:r>
    </w:p>
    <w:p w14:paraId="7FCAFA7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8、操作完毕，应将提升吊篮或物件降至地面，并应切断电源，锁好开关箱。</w:t>
      </w:r>
    </w:p>
    <w:p w14:paraId="18807A3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（八）翻斗车安全操作规程</w:t>
      </w:r>
    </w:p>
    <w:p w14:paraId="05EBB5C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1、行驶前，应检查锁紧装置，并将料斗锁牢，不得在行驶时掉斗。</w:t>
      </w:r>
    </w:p>
    <w:p w14:paraId="0539632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2、行驶时应从一档起步，不得用离合器处于半结合状态来控制车速。</w:t>
      </w:r>
    </w:p>
    <w:p w14:paraId="746BE90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3、翻斗制动时，应逐渐踏下制动踏板，并应避免紧急制动。</w:t>
      </w:r>
    </w:p>
    <w:p w14:paraId="1B0C628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4、严禁料斗内载人，料斗不得在卸料情况下行驶或进行平地作业。</w:t>
      </w:r>
    </w:p>
    <w:p w14:paraId="207524C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5、内燃机运转或料斗内载荷时，严禁在车底下进行任何作业。</w:t>
      </w:r>
    </w:p>
    <w:p w14:paraId="500560C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6、操作人员离机时，应将内燃机熄火，并摘档拉紧手制动器。</w:t>
      </w:r>
    </w:p>
    <w:p w14:paraId="1D96E57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7、作业后，应对车辆进行清洗，清除砂土及混凝土等粘结在料斗和车架上的脏物。</w:t>
      </w:r>
    </w:p>
    <w:p w14:paraId="7F1EF31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（九）打夯机安全操作规程</w:t>
      </w:r>
    </w:p>
    <w:p w14:paraId="6DCD7FB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1、夯机使用前检查绝缘线路、漏电保护器、定向开关、皮带、偏心块等，确认无问题方可使用。</w:t>
      </w:r>
    </w:p>
    <w:p w14:paraId="62329B0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2、夯机操作时，要两人操作：一人扶夯机，一人整理线路，防止夯头夯打电源线。</w:t>
      </w:r>
    </w:p>
    <w:p w14:paraId="64230EC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3、夯机拐弯时，不得猛拐和撒把不扶任其自由行走。</w:t>
      </w:r>
    </w:p>
    <w:p w14:paraId="3FF96C0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4、夯机作业时，机前2米内不得有人，多台夯机夯打时，其左右距离不得小于5米，作业人员穿绝缘鞋、戴绝缘手套。</w:t>
      </w:r>
    </w:p>
    <w:p w14:paraId="33A7019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5、随机的电源线应保持3-4米的余量，发现电源线缠绕、破裂时要及时断电，停止作业，马上修理。</w:t>
      </w:r>
    </w:p>
    <w:p w14:paraId="0173487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6、挪夯机前要断电，绑好偏心块，盘好缆线。工作完后断电锁好，放在干燥处。</w:t>
      </w:r>
    </w:p>
    <w:p w14:paraId="3E9077C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（十）砼振捣器安全操作规程</w:t>
      </w:r>
    </w:p>
    <w:p w14:paraId="7BE59433">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1、在使用前检查部件和软轴接线是否正确，试运转后，方可使用。</w:t>
      </w:r>
    </w:p>
    <w:p w14:paraId="1A57945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2、单设电源线和电源箱，箱内要有漏电保护器，电机外壳做好接零保护。工作时两人操作：一人持棒，一人看电机，随时挪电机不得拖拉。</w:t>
      </w:r>
    </w:p>
    <w:p w14:paraId="64D912E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3、操作人员穿绝缘鞋、戴绝缘手套。</w:t>
      </w:r>
    </w:p>
    <w:p w14:paraId="05B456F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4、振捣器软轴弯曲半径不得小于50厘米，并不得多于2个弯，操作时振捣棒自然垂直地沉入砼，不得用力硬插，斜推或使钢筋加住棒头，也不得全部插入砼中。</w:t>
      </w:r>
    </w:p>
    <w:p w14:paraId="5812103F">
      <w:pPr>
        <w:adjustRightInd w:val="0"/>
        <w:snapToGrid w:val="0"/>
        <w:spacing w:line="360" w:lineRule="auto"/>
        <w:rPr>
          <w:rFonts w:hint="eastAsia" w:ascii="仿宋_GB2312"/>
          <w:sz w:val="21"/>
          <w:szCs w:val="21"/>
          <w:highlight w:val="none"/>
        </w:rPr>
      </w:pPr>
      <w:r>
        <w:rPr>
          <w:rFonts w:hint="eastAsia" w:ascii="仿宋_GB2312"/>
          <w:sz w:val="21"/>
          <w:szCs w:val="21"/>
          <w:highlight w:val="none"/>
        </w:rPr>
        <w:t>5、用完的振捣棒先断电，再盘好缆线，电机放在干燥处防止受潮造成电机烧毁现象。</w:t>
      </w:r>
    </w:p>
    <w:p w14:paraId="5AE77DB0">
      <w:pPr>
        <w:ind w:left="0" w:leftChars="0" w:firstLine="0" w:firstLineChars="0"/>
        <w:rPr>
          <w:b/>
          <w:highlight w:val="none"/>
        </w:rPr>
      </w:pPr>
    </w:p>
    <w:p w14:paraId="7F6CFE1C">
      <w:pPr>
        <w:rPr>
          <w:highlight w:val="none"/>
        </w:rPr>
      </w:pPr>
    </w:p>
    <w:p w14:paraId="68ECD7AA">
      <w:pPr>
        <w:pStyle w:val="8"/>
        <w:spacing w:before="140" w:line="222" w:lineRule="auto"/>
        <w:ind w:left="1250"/>
        <w:outlineLvl w:val="0"/>
        <w:rPr>
          <w:rFonts w:hint="eastAsia" w:ascii="仿宋" w:hAnsi="仿宋" w:eastAsia="仿宋" w:cs="仿宋"/>
          <w:sz w:val="21"/>
          <w:highlight w:val="none"/>
        </w:rPr>
      </w:pPr>
      <w:bookmarkStart w:id="56" w:name="_Toc24746"/>
      <w:r>
        <w:rPr>
          <w:rFonts w:hint="eastAsia" w:ascii="仿宋" w:hAnsi="仿宋" w:eastAsia="仿宋" w:cs="仿宋"/>
          <w:b/>
          <w:bCs/>
          <w:spacing w:val="3"/>
          <w:sz w:val="43"/>
          <w:szCs w:val="43"/>
          <w:highlight w:val="none"/>
          <w:lang w:val="en-US" w:eastAsia="zh-CN"/>
        </w:rPr>
        <w:t xml:space="preserve">第五章  </w:t>
      </w:r>
      <w:r>
        <w:rPr>
          <w:rFonts w:hint="eastAsia" w:ascii="仿宋" w:hAnsi="仿宋" w:eastAsia="仿宋" w:cs="仿宋"/>
          <w:b/>
          <w:bCs/>
          <w:spacing w:val="3"/>
          <w:sz w:val="43"/>
          <w:szCs w:val="43"/>
          <w:highlight w:val="none"/>
        </w:rPr>
        <w:t>评</w:t>
      </w:r>
      <w:r>
        <w:rPr>
          <w:rFonts w:hint="eastAsia" w:ascii="仿宋" w:hAnsi="仿宋" w:eastAsia="仿宋" w:cs="仿宋"/>
          <w:b/>
          <w:bCs/>
          <w:spacing w:val="3"/>
          <w:sz w:val="43"/>
          <w:szCs w:val="43"/>
          <w:highlight w:val="none"/>
          <w:lang w:val="en-US" w:eastAsia="zh-CN"/>
        </w:rPr>
        <w:t>审</w:t>
      </w:r>
      <w:r>
        <w:rPr>
          <w:rFonts w:hint="eastAsia" w:ascii="仿宋" w:hAnsi="仿宋" w:eastAsia="仿宋" w:cs="仿宋"/>
          <w:b/>
          <w:bCs/>
          <w:spacing w:val="3"/>
          <w:sz w:val="43"/>
          <w:szCs w:val="43"/>
          <w:highlight w:val="none"/>
        </w:rPr>
        <w:t>办法（综合评估法）</w:t>
      </w:r>
      <w:bookmarkEnd w:id="56"/>
    </w:p>
    <w:p w14:paraId="3892D599">
      <w:pPr>
        <w:spacing w:line="265" w:lineRule="auto"/>
        <w:rPr>
          <w:rFonts w:hint="eastAsia" w:ascii="仿宋" w:hAnsi="仿宋" w:eastAsia="仿宋" w:cs="仿宋"/>
          <w:sz w:val="21"/>
          <w:highlight w:val="none"/>
        </w:rPr>
      </w:pPr>
    </w:p>
    <w:p w14:paraId="2F0C7BD5">
      <w:pPr>
        <w:spacing w:line="265" w:lineRule="auto"/>
        <w:rPr>
          <w:rFonts w:ascii="Arial"/>
          <w:sz w:val="21"/>
          <w:highlight w:val="none"/>
        </w:rPr>
      </w:pPr>
    </w:p>
    <w:p w14:paraId="5CBB9AED">
      <w:pPr>
        <w:spacing w:before="101" w:line="224" w:lineRule="auto"/>
        <w:ind w:left="15"/>
        <w:outlineLvl w:val="1"/>
        <w:rPr>
          <w:rFonts w:hint="eastAsia" w:ascii="黑体" w:hAnsi="黑体" w:eastAsia="黑体" w:cs="黑体"/>
          <w:b/>
          <w:bCs/>
          <w:spacing w:val="6"/>
          <w:sz w:val="31"/>
          <w:szCs w:val="31"/>
          <w:highlight w:val="none"/>
          <w:lang w:eastAsia="zh-CN"/>
        </w:rPr>
      </w:pPr>
      <w:bookmarkStart w:id="57" w:name="bookmark190"/>
      <w:bookmarkEnd w:id="57"/>
      <w:bookmarkStart w:id="58" w:name="_Toc18442"/>
      <w:r>
        <w:rPr>
          <w:rFonts w:ascii="黑体" w:hAnsi="黑体" w:eastAsia="黑体" w:cs="黑体"/>
          <w:b/>
          <w:bCs/>
          <w:spacing w:val="6"/>
          <w:sz w:val="31"/>
          <w:szCs w:val="31"/>
          <w:highlight w:val="none"/>
        </w:rPr>
        <w:t>评标办法前附表</w:t>
      </w:r>
      <w:bookmarkEnd w:id="58"/>
      <w:bookmarkStart w:id="59" w:name="_Toc2793"/>
    </w:p>
    <w:bookmarkEnd w:id="59"/>
    <w:p w14:paraId="6B6ED55F">
      <w:pPr>
        <w:rPr>
          <w:rFonts w:ascii="Arial" w:hAnsi="Arial" w:eastAsia="Arial" w:cs="Arial"/>
          <w:sz w:val="21"/>
          <w:szCs w:val="21"/>
          <w:highlight w:val="none"/>
        </w:rPr>
      </w:pPr>
    </w:p>
    <w:p w14:paraId="5C99EC02">
      <w:pPr>
        <w:rPr>
          <w:rFonts w:ascii="Arial" w:hAnsi="Arial" w:eastAsia="Arial" w:cs="Arial"/>
          <w:sz w:val="21"/>
          <w:szCs w:val="21"/>
          <w:highlight w:val="none"/>
        </w:rPr>
      </w:pPr>
    </w:p>
    <w:tbl>
      <w:tblPr>
        <w:tblStyle w:val="22"/>
        <w:tblW w:w="8644"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1123"/>
        <w:gridCol w:w="1860"/>
        <w:gridCol w:w="4757"/>
      </w:tblGrid>
      <w:tr w14:paraId="1F801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27" w:type="dxa"/>
            <w:gridSpan w:val="2"/>
            <w:vAlign w:val="center"/>
          </w:tcPr>
          <w:p w14:paraId="790269AD">
            <w:pPr>
              <w:jc w:val="center"/>
              <w:rPr>
                <w:rFonts w:ascii="宋体" w:hAnsi="宋体" w:eastAsia="宋体" w:cs="宋体"/>
                <w:sz w:val="20"/>
                <w:szCs w:val="20"/>
                <w:highlight w:val="none"/>
              </w:rPr>
            </w:pPr>
            <w:r>
              <w:rPr>
                <w:rFonts w:hint="eastAsia" w:ascii="宋体" w:hAnsi="宋体" w:eastAsia="宋体" w:cs="宋体"/>
                <w:sz w:val="20"/>
                <w:szCs w:val="20"/>
                <w:highlight w:val="none"/>
              </w:rPr>
              <w:t>条款号</w:t>
            </w:r>
          </w:p>
        </w:tc>
        <w:tc>
          <w:tcPr>
            <w:tcW w:w="1860" w:type="dxa"/>
            <w:vAlign w:val="center"/>
          </w:tcPr>
          <w:p w14:paraId="168387B1">
            <w:pPr>
              <w:jc w:val="center"/>
              <w:rPr>
                <w:rFonts w:ascii="宋体" w:hAnsi="宋体" w:eastAsia="宋体" w:cs="宋体"/>
                <w:sz w:val="20"/>
                <w:szCs w:val="20"/>
                <w:highlight w:val="none"/>
              </w:rPr>
            </w:pPr>
            <w:r>
              <w:rPr>
                <w:rFonts w:hint="eastAsia" w:ascii="宋体" w:hAnsi="宋体" w:eastAsia="宋体" w:cs="宋体"/>
                <w:sz w:val="20"/>
                <w:szCs w:val="20"/>
                <w:highlight w:val="none"/>
              </w:rPr>
              <w:t>评审因素</w:t>
            </w:r>
          </w:p>
        </w:tc>
        <w:tc>
          <w:tcPr>
            <w:tcW w:w="4757" w:type="dxa"/>
            <w:vAlign w:val="center"/>
          </w:tcPr>
          <w:p w14:paraId="6380142E">
            <w:pPr>
              <w:jc w:val="center"/>
              <w:rPr>
                <w:rFonts w:ascii="宋体" w:hAnsi="宋体" w:eastAsia="宋体" w:cs="宋体"/>
                <w:sz w:val="20"/>
                <w:szCs w:val="20"/>
                <w:highlight w:val="none"/>
              </w:rPr>
            </w:pPr>
            <w:r>
              <w:rPr>
                <w:rFonts w:hint="eastAsia" w:ascii="宋体" w:hAnsi="宋体" w:eastAsia="宋体" w:cs="宋体"/>
                <w:sz w:val="20"/>
                <w:szCs w:val="20"/>
                <w:highlight w:val="none"/>
              </w:rPr>
              <w:t>评审标准</w:t>
            </w:r>
          </w:p>
        </w:tc>
      </w:tr>
      <w:tr w14:paraId="65185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904" w:type="dxa"/>
            <w:vMerge w:val="restart"/>
            <w:tcBorders>
              <w:bottom w:val="nil"/>
            </w:tcBorders>
            <w:vAlign w:val="center"/>
          </w:tcPr>
          <w:p w14:paraId="5CEB434A">
            <w:pPr>
              <w:jc w:val="center"/>
              <w:rPr>
                <w:rFonts w:ascii="宋体" w:hAnsi="宋体" w:eastAsia="宋体" w:cs="宋体"/>
                <w:sz w:val="20"/>
                <w:szCs w:val="20"/>
                <w:highlight w:val="none"/>
              </w:rPr>
            </w:pPr>
            <w:r>
              <w:rPr>
                <w:rFonts w:hint="eastAsia" w:ascii="宋体" w:hAnsi="宋体" w:eastAsia="宋体" w:cs="宋体"/>
                <w:sz w:val="20"/>
                <w:szCs w:val="20"/>
                <w:highlight w:val="none"/>
              </w:rPr>
              <w:t>2.1.1</w:t>
            </w:r>
          </w:p>
        </w:tc>
        <w:tc>
          <w:tcPr>
            <w:tcW w:w="1123" w:type="dxa"/>
            <w:vMerge w:val="restart"/>
            <w:tcBorders>
              <w:bottom w:val="nil"/>
            </w:tcBorders>
            <w:vAlign w:val="center"/>
          </w:tcPr>
          <w:p w14:paraId="2146B68C">
            <w:pPr>
              <w:jc w:val="center"/>
              <w:rPr>
                <w:rFonts w:ascii="宋体" w:hAnsi="宋体" w:eastAsia="宋体" w:cs="宋体"/>
                <w:sz w:val="20"/>
                <w:szCs w:val="20"/>
                <w:highlight w:val="none"/>
              </w:rPr>
            </w:pPr>
            <w:r>
              <w:rPr>
                <w:rFonts w:hint="eastAsia" w:ascii="宋体" w:hAnsi="宋体" w:eastAsia="宋体" w:cs="宋体"/>
                <w:sz w:val="20"/>
                <w:szCs w:val="20"/>
                <w:highlight w:val="none"/>
              </w:rPr>
              <w:t>形式评审</w:t>
            </w:r>
          </w:p>
          <w:p w14:paraId="236E6ACD">
            <w:pPr>
              <w:jc w:val="center"/>
              <w:rPr>
                <w:rFonts w:ascii="宋体" w:hAnsi="宋体" w:eastAsia="宋体" w:cs="宋体"/>
                <w:sz w:val="20"/>
                <w:szCs w:val="20"/>
                <w:highlight w:val="none"/>
              </w:rPr>
            </w:pPr>
            <w:r>
              <w:rPr>
                <w:rFonts w:hint="eastAsia" w:ascii="宋体" w:hAnsi="宋体" w:eastAsia="宋体" w:cs="宋体"/>
                <w:sz w:val="20"/>
                <w:szCs w:val="20"/>
                <w:highlight w:val="none"/>
              </w:rPr>
              <w:t>标准</w:t>
            </w:r>
          </w:p>
        </w:tc>
        <w:tc>
          <w:tcPr>
            <w:tcW w:w="1860" w:type="dxa"/>
            <w:vAlign w:val="center"/>
          </w:tcPr>
          <w:p w14:paraId="1E16E7E3">
            <w:pPr>
              <w:jc w:val="center"/>
              <w:rPr>
                <w:rFonts w:ascii="宋体" w:hAnsi="宋体" w:eastAsia="宋体" w:cs="宋体"/>
                <w:sz w:val="20"/>
                <w:szCs w:val="20"/>
                <w:highlight w:val="none"/>
              </w:rPr>
            </w:pPr>
            <w:r>
              <w:rPr>
                <w:rFonts w:hint="eastAsia" w:ascii="宋体" w:hAnsi="宋体" w:eastAsia="宋体" w:cs="宋体"/>
                <w:sz w:val="20"/>
                <w:szCs w:val="20"/>
                <w:highlight w:val="none"/>
              </w:rPr>
              <w:t>投标人名称</w:t>
            </w:r>
          </w:p>
        </w:tc>
        <w:tc>
          <w:tcPr>
            <w:tcW w:w="4757" w:type="dxa"/>
            <w:vAlign w:val="center"/>
          </w:tcPr>
          <w:p w14:paraId="20634708">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与营业执照一致</w:t>
            </w:r>
          </w:p>
        </w:tc>
      </w:tr>
      <w:tr w14:paraId="53E32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04" w:type="dxa"/>
            <w:vMerge w:val="continue"/>
            <w:tcBorders>
              <w:top w:val="nil"/>
              <w:bottom w:val="nil"/>
            </w:tcBorders>
            <w:vAlign w:val="center"/>
          </w:tcPr>
          <w:p w14:paraId="4C595F3B">
            <w:pPr>
              <w:jc w:val="center"/>
              <w:rPr>
                <w:rFonts w:ascii="宋体" w:hAnsi="宋体" w:eastAsia="宋体" w:cs="宋体"/>
                <w:sz w:val="20"/>
                <w:szCs w:val="20"/>
                <w:highlight w:val="none"/>
                <w:lang w:eastAsia="zh-CN"/>
              </w:rPr>
            </w:pPr>
          </w:p>
        </w:tc>
        <w:tc>
          <w:tcPr>
            <w:tcW w:w="1123" w:type="dxa"/>
            <w:vMerge w:val="continue"/>
            <w:tcBorders>
              <w:top w:val="nil"/>
              <w:bottom w:val="nil"/>
            </w:tcBorders>
            <w:vAlign w:val="center"/>
          </w:tcPr>
          <w:p w14:paraId="55079056">
            <w:pPr>
              <w:jc w:val="center"/>
              <w:rPr>
                <w:rFonts w:ascii="宋体" w:hAnsi="宋体" w:eastAsia="宋体" w:cs="宋体"/>
                <w:sz w:val="20"/>
                <w:szCs w:val="20"/>
                <w:highlight w:val="none"/>
                <w:lang w:eastAsia="zh-CN"/>
              </w:rPr>
            </w:pPr>
          </w:p>
        </w:tc>
        <w:tc>
          <w:tcPr>
            <w:tcW w:w="1860" w:type="dxa"/>
            <w:vAlign w:val="center"/>
          </w:tcPr>
          <w:p w14:paraId="2FB0C6C0">
            <w:pPr>
              <w:jc w:val="center"/>
              <w:rPr>
                <w:rFonts w:ascii="宋体" w:hAnsi="宋体" w:eastAsia="宋体" w:cs="宋体"/>
                <w:sz w:val="20"/>
                <w:szCs w:val="20"/>
                <w:highlight w:val="none"/>
              </w:rPr>
            </w:pPr>
            <w:r>
              <w:rPr>
                <w:rFonts w:hint="eastAsia" w:ascii="宋体" w:hAnsi="宋体" w:eastAsia="宋体" w:cs="宋体"/>
                <w:sz w:val="20"/>
                <w:szCs w:val="20"/>
                <w:highlight w:val="none"/>
              </w:rPr>
              <w:t>投标函签字盖章</w:t>
            </w:r>
          </w:p>
        </w:tc>
        <w:tc>
          <w:tcPr>
            <w:tcW w:w="4757" w:type="dxa"/>
            <w:vAlign w:val="center"/>
          </w:tcPr>
          <w:p w14:paraId="0641E3E6">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由法定代表人或其委托代理人签字或</w:t>
            </w:r>
            <w:r>
              <w:rPr>
                <w:rFonts w:hint="eastAsia" w:ascii="宋体" w:hAnsi="宋体" w:eastAsia="宋体" w:cs="宋体"/>
                <w:sz w:val="20"/>
                <w:szCs w:val="20"/>
                <w:highlight w:val="none"/>
                <w:lang w:val="en-US" w:eastAsia="zh-CN"/>
              </w:rPr>
              <w:t>盖章，并</w:t>
            </w:r>
            <w:r>
              <w:rPr>
                <w:rFonts w:hint="eastAsia" w:ascii="宋体" w:hAnsi="宋体" w:eastAsia="宋体" w:cs="宋体"/>
                <w:sz w:val="20"/>
                <w:szCs w:val="20"/>
                <w:highlight w:val="none"/>
                <w:lang w:eastAsia="zh-CN"/>
              </w:rPr>
              <w:t>加盖单位公章</w:t>
            </w:r>
          </w:p>
        </w:tc>
      </w:tr>
      <w:tr w14:paraId="292B1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04" w:type="dxa"/>
            <w:vMerge w:val="continue"/>
            <w:tcBorders>
              <w:top w:val="nil"/>
              <w:bottom w:val="nil"/>
            </w:tcBorders>
            <w:vAlign w:val="center"/>
          </w:tcPr>
          <w:p w14:paraId="56688337">
            <w:pPr>
              <w:jc w:val="center"/>
              <w:rPr>
                <w:rFonts w:ascii="宋体" w:hAnsi="宋体" w:eastAsia="宋体" w:cs="宋体"/>
                <w:sz w:val="20"/>
                <w:szCs w:val="20"/>
                <w:highlight w:val="none"/>
                <w:lang w:eastAsia="zh-CN"/>
              </w:rPr>
            </w:pPr>
          </w:p>
        </w:tc>
        <w:tc>
          <w:tcPr>
            <w:tcW w:w="1123" w:type="dxa"/>
            <w:vMerge w:val="continue"/>
            <w:tcBorders>
              <w:top w:val="nil"/>
              <w:bottom w:val="nil"/>
            </w:tcBorders>
            <w:vAlign w:val="center"/>
          </w:tcPr>
          <w:p w14:paraId="6689CFB0">
            <w:pPr>
              <w:jc w:val="center"/>
              <w:rPr>
                <w:rFonts w:ascii="宋体" w:hAnsi="宋体" w:eastAsia="宋体" w:cs="宋体"/>
                <w:sz w:val="20"/>
                <w:szCs w:val="20"/>
                <w:highlight w:val="none"/>
                <w:lang w:eastAsia="zh-CN"/>
              </w:rPr>
            </w:pPr>
          </w:p>
        </w:tc>
        <w:tc>
          <w:tcPr>
            <w:tcW w:w="1860" w:type="dxa"/>
            <w:vAlign w:val="center"/>
          </w:tcPr>
          <w:p w14:paraId="0CA4E127">
            <w:pPr>
              <w:jc w:val="center"/>
              <w:rPr>
                <w:rFonts w:ascii="宋体" w:hAnsi="宋体" w:eastAsia="宋体" w:cs="宋体"/>
                <w:sz w:val="20"/>
                <w:szCs w:val="20"/>
                <w:highlight w:val="none"/>
              </w:rPr>
            </w:pPr>
            <w:r>
              <w:rPr>
                <w:rFonts w:hint="eastAsia" w:ascii="宋体" w:hAnsi="宋体" w:eastAsia="宋体" w:cs="宋体"/>
                <w:sz w:val="20"/>
                <w:szCs w:val="20"/>
                <w:highlight w:val="none"/>
              </w:rPr>
              <w:t>投标文件格式</w:t>
            </w:r>
          </w:p>
        </w:tc>
        <w:tc>
          <w:tcPr>
            <w:tcW w:w="4757" w:type="dxa"/>
            <w:vAlign w:val="center"/>
          </w:tcPr>
          <w:p w14:paraId="06EA7D80">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符合第</w:t>
            </w:r>
            <w:r>
              <w:rPr>
                <w:rFonts w:hint="eastAsia" w:ascii="宋体" w:hAnsi="宋体" w:eastAsia="宋体" w:cs="宋体"/>
                <w:sz w:val="20"/>
                <w:szCs w:val="20"/>
                <w:highlight w:val="none"/>
                <w:lang w:val="en-US" w:eastAsia="zh-CN"/>
              </w:rPr>
              <w:t>六</w:t>
            </w:r>
            <w:r>
              <w:rPr>
                <w:rFonts w:hint="eastAsia" w:ascii="宋体" w:hAnsi="宋体" w:eastAsia="宋体" w:cs="宋体"/>
                <w:sz w:val="20"/>
                <w:szCs w:val="20"/>
                <w:highlight w:val="none"/>
                <w:lang w:eastAsia="zh-CN"/>
              </w:rPr>
              <w:t>章“投标文件格式”的要求</w:t>
            </w:r>
          </w:p>
        </w:tc>
      </w:tr>
      <w:tr w14:paraId="40D17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04" w:type="dxa"/>
            <w:vMerge w:val="continue"/>
            <w:tcBorders>
              <w:top w:val="nil"/>
              <w:bottom w:val="nil"/>
            </w:tcBorders>
            <w:vAlign w:val="center"/>
          </w:tcPr>
          <w:p w14:paraId="3EE55CCE">
            <w:pPr>
              <w:jc w:val="center"/>
              <w:rPr>
                <w:rFonts w:ascii="宋体" w:hAnsi="宋体" w:eastAsia="宋体" w:cs="宋体"/>
                <w:sz w:val="20"/>
                <w:szCs w:val="20"/>
                <w:highlight w:val="none"/>
                <w:lang w:eastAsia="zh-CN"/>
              </w:rPr>
            </w:pPr>
          </w:p>
        </w:tc>
        <w:tc>
          <w:tcPr>
            <w:tcW w:w="1123" w:type="dxa"/>
            <w:vMerge w:val="continue"/>
            <w:tcBorders>
              <w:top w:val="nil"/>
              <w:bottom w:val="nil"/>
            </w:tcBorders>
            <w:vAlign w:val="center"/>
          </w:tcPr>
          <w:p w14:paraId="1D6341B2">
            <w:pPr>
              <w:jc w:val="center"/>
              <w:rPr>
                <w:rFonts w:ascii="宋体" w:hAnsi="宋体" w:eastAsia="宋体" w:cs="宋体"/>
                <w:sz w:val="20"/>
                <w:szCs w:val="20"/>
                <w:highlight w:val="none"/>
                <w:lang w:eastAsia="zh-CN"/>
              </w:rPr>
            </w:pPr>
          </w:p>
        </w:tc>
        <w:tc>
          <w:tcPr>
            <w:tcW w:w="1860" w:type="dxa"/>
            <w:vAlign w:val="center"/>
          </w:tcPr>
          <w:p w14:paraId="6EC281EB">
            <w:pPr>
              <w:jc w:val="center"/>
              <w:rPr>
                <w:rFonts w:ascii="宋体" w:hAnsi="宋体" w:eastAsia="宋体" w:cs="宋体"/>
                <w:sz w:val="20"/>
                <w:szCs w:val="20"/>
                <w:highlight w:val="none"/>
              </w:rPr>
            </w:pPr>
            <w:r>
              <w:rPr>
                <w:rFonts w:hint="eastAsia" w:ascii="宋体" w:hAnsi="宋体" w:eastAsia="宋体" w:cs="宋体"/>
                <w:sz w:val="20"/>
                <w:szCs w:val="20"/>
                <w:highlight w:val="none"/>
              </w:rPr>
              <w:t>报价唯一</w:t>
            </w:r>
          </w:p>
        </w:tc>
        <w:tc>
          <w:tcPr>
            <w:tcW w:w="4757" w:type="dxa"/>
            <w:vAlign w:val="center"/>
          </w:tcPr>
          <w:p w14:paraId="075B8FC2">
            <w:pPr>
              <w:jc w:val="both"/>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只能有一个有效报价</w:t>
            </w:r>
          </w:p>
        </w:tc>
      </w:tr>
      <w:tr w14:paraId="6893D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Borders>
              <w:top w:val="nil"/>
              <w:bottom w:val="single" w:color="auto" w:sz="4" w:space="0"/>
            </w:tcBorders>
            <w:vAlign w:val="center"/>
          </w:tcPr>
          <w:p w14:paraId="7F583046">
            <w:pPr>
              <w:jc w:val="center"/>
              <w:rPr>
                <w:rFonts w:ascii="宋体" w:hAnsi="宋体" w:eastAsia="宋体" w:cs="宋体"/>
                <w:sz w:val="20"/>
                <w:szCs w:val="20"/>
                <w:highlight w:val="none"/>
              </w:rPr>
            </w:pPr>
          </w:p>
        </w:tc>
        <w:tc>
          <w:tcPr>
            <w:tcW w:w="1123" w:type="dxa"/>
            <w:vMerge w:val="continue"/>
            <w:tcBorders>
              <w:top w:val="nil"/>
              <w:bottom w:val="single" w:color="auto" w:sz="4" w:space="0"/>
            </w:tcBorders>
            <w:vAlign w:val="center"/>
          </w:tcPr>
          <w:p w14:paraId="64951416">
            <w:pPr>
              <w:jc w:val="center"/>
              <w:rPr>
                <w:rFonts w:ascii="宋体" w:hAnsi="宋体" w:eastAsia="宋体" w:cs="宋体"/>
                <w:sz w:val="20"/>
                <w:szCs w:val="20"/>
                <w:highlight w:val="none"/>
              </w:rPr>
            </w:pPr>
          </w:p>
        </w:tc>
        <w:tc>
          <w:tcPr>
            <w:tcW w:w="1860" w:type="dxa"/>
            <w:vAlign w:val="center"/>
          </w:tcPr>
          <w:p w14:paraId="0D90CAAB">
            <w:pPr>
              <w:jc w:val="center"/>
              <w:rPr>
                <w:rFonts w:ascii="宋体" w:hAnsi="宋体" w:eastAsia="宋体" w:cs="宋体"/>
                <w:b/>
                <w:bCs/>
                <w:sz w:val="20"/>
                <w:szCs w:val="20"/>
                <w:highlight w:val="none"/>
                <w:lang w:eastAsia="zh-CN"/>
              </w:rPr>
            </w:pPr>
            <w:r>
              <w:rPr>
                <w:rFonts w:hint="eastAsia" w:ascii="宋体" w:hAnsi="宋体" w:eastAsia="宋体" w:cs="宋体"/>
                <w:b/>
                <w:bCs/>
                <w:sz w:val="20"/>
                <w:szCs w:val="20"/>
                <w:highlight w:val="none"/>
                <w:lang w:eastAsia="zh-CN"/>
              </w:rPr>
              <w:t>投标报价文件签字盖章</w:t>
            </w:r>
          </w:p>
        </w:tc>
        <w:tc>
          <w:tcPr>
            <w:tcW w:w="4757" w:type="dxa"/>
            <w:vAlign w:val="center"/>
          </w:tcPr>
          <w:p w14:paraId="6B4EA006">
            <w:pPr>
              <w:rPr>
                <w:rFonts w:ascii="宋体" w:hAnsi="宋体" w:eastAsia="宋体" w:cs="宋体"/>
                <w:b/>
                <w:bCs/>
                <w:sz w:val="20"/>
                <w:szCs w:val="20"/>
                <w:highlight w:val="none"/>
                <w:lang w:eastAsia="zh-CN"/>
              </w:rPr>
            </w:pPr>
            <w:r>
              <w:rPr>
                <w:rFonts w:hint="eastAsia" w:ascii="宋体" w:hAnsi="宋体" w:eastAsia="宋体" w:cs="宋体"/>
                <w:b/>
                <w:bCs/>
                <w:sz w:val="20"/>
                <w:szCs w:val="20"/>
                <w:highlight w:val="none"/>
                <w:lang w:eastAsia="zh-CN"/>
              </w:rPr>
              <w:t xml:space="preserve">投标文件应加盖投标人公章、骑缝章及由法定代 </w:t>
            </w:r>
          </w:p>
          <w:p w14:paraId="273DD3F4">
            <w:pPr>
              <w:rPr>
                <w:highlight w:val="none"/>
                <w:lang w:eastAsia="zh-CN"/>
              </w:rPr>
            </w:pPr>
            <w:r>
              <w:rPr>
                <w:rFonts w:hint="eastAsia" w:ascii="宋体" w:hAnsi="宋体" w:eastAsia="宋体" w:cs="宋体"/>
                <w:b/>
                <w:bCs/>
                <w:sz w:val="20"/>
                <w:szCs w:val="20"/>
                <w:highlight w:val="none"/>
                <w:lang w:eastAsia="zh-CN"/>
              </w:rPr>
              <w:t>表人或其委托代理人签字或盖章。</w:t>
            </w:r>
          </w:p>
        </w:tc>
      </w:tr>
      <w:tr w14:paraId="6B87E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restart"/>
            <w:tcBorders>
              <w:top w:val="single" w:color="auto" w:sz="4" w:space="0"/>
              <w:left w:val="single" w:color="auto" w:sz="4" w:space="0"/>
              <w:bottom w:val="single" w:color="auto" w:sz="4" w:space="0"/>
              <w:right w:val="single" w:color="auto" w:sz="4" w:space="0"/>
            </w:tcBorders>
            <w:vAlign w:val="center"/>
          </w:tcPr>
          <w:p w14:paraId="6740B35F">
            <w:pPr>
              <w:jc w:val="center"/>
              <w:rPr>
                <w:rFonts w:ascii="宋体" w:hAnsi="宋体" w:eastAsia="宋体" w:cs="宋体"/>
                <w:sz w:val="20"/>
                <w:szCs w:val="20"/>
                <w:highlight w:val="none"/>
              </w:rPr>
            </w:pPr>
            <w:r>
              <w:rPr>
                <w:rFonts w:hint="eastAsia" w:ascii="宋体" w:hAnsi="宋体" w:eastAsia="宋体" w:cs="宋体"/>
                <w:sz w:val="20"/>
                <w:szCs w:val="20"/>
                <w:highlight w:val="none"/>
              </w:rPr>
              <w:t>2.1.2</w:t>
            </w:r>
          </w:p>
        </w:tc>
        <w:tc>
          <w:tcPr>
            <w:tcW w:w="1123" w:type="dxa"/>
            <w:vMerge w:val="restart"/>
            <w:tcBorders>
              <w:top w:val="single" w:color="auto" w:sz="4" w:space="0"/>
              <w:left w:val="single" w:color="auto" w:sz="4" w:space="0"/>
              <w:bottom w:val="single" w:color="auto" w:sz="4" w:space="0"/>
              <w:right w:val="single" w:color="auto" w:sz="4" w:space="0"/>
            </w:tcBorders>
            <w:vAlign w:val="center"/>
          </w:tcPr>
          <w:p w14:paraId="7B96869A">
            <w:pPr>
              <w:jc w:val="center"/>
              <w:rPr>
                <w:rFonts w:ascii="宋体" w:hAnsi="宋体" w:eastAsia="宋体" w:cs="宋体"/>
                <w:sz w:val="20"/>
                <w:szCs w:val="20"/>
                <w:highlight w:val="none"/>
              </w:rPr>
            </w:pPr>
            <w:r>
              <w:rPr>
                <w:rFonts w:hint="eastAsia" w:ascii="宋体" w:hAnsi="宋体" w:eastAsia="宋体" w:cs="宋体"/>
                <w:sz w:val="20"/>
                <w:szCs w:val="20"/>
                <w:highlight w:val="none"/>
              </w:rPr>
              <w:t>资格评审</w:t>
            </w:r>
          </w:p>
          <w:p w14:paraId="37F576AD">
            <w:pPr>
              <w:jc w:val="center"/>
              <w:rPr>
                <w:rFonts w:ascii="宋体" w:hAnsi="宋体" w:eastAsia="宋体" w:cs="宋体"/>
                <w:sz w:val="20"/>
                <w:szCs w:val="20"/>
                <w:highlight w:val="none"/>
              </w:rPr>
            </w:pPr>
            <w:r>
              <w:rPr>
                <w:rFonts w:hint="eastAsia" w:ascii="宋体" w:hAnsi="宋体" w:eastAsia="宋体" w:cs="宋体"/>
                <w:sz w:val="20"/>
                <w:szCs w:val="20"/>
                <w:highlight w:val="none"/>
              </w:rPr>
              <w:t>标准</w:t>
            </w:r>
          </w:p>
        </w:tc>
        <w:tc>
          <w:tcPr>
            <w:tcW w:w="1860" w:type="dxa"/>
            <w:tcBorders>
              <w:left w:val="single" w:color="auto" w:sz="4" w:space="0"/>
            </w:tcBorders>
            <w:vAlign w:val="center"/>
          </w:tcPr>
          <w:p w14:paraId="6CBB19BD">
            <w:pPr>
              <w:jc w:val="center"/>
              <w:rPr>
                <w:rFonts w:ascii="宋体" w:hAnsi="宋体" w:eastAsia="宋体" w:cs="宋体"/>
                <w:sz w:val="20"/>
                <w:szCs w:val="20"/>
                <w:highlight w:val="none"/>
              </w:rPr>
            </w:pPr>
            <w:r>
              <w:rPr>
                <w:rFonts w:hint="eastAsia" w:ascii="宋体" w:hAnsi="宋体" w:eastAsia="宋体" w:cs="宋体"/>
                <w:sz w:val="20"/>
                <w:szCs w:val="20"/>
                <w:highlight w:val="none"/>
              </w:rPr>
              <w:t>营业执照</w:t>
            </w:r>
          </w:p>
        </w:tc>
        <w:tc>
          <w:tcPr>
            <w:tcW w:w="4757" w:type="dxa"/>
            <w:vAlign w:val="center"/>
          </w:tcPr>
          <w:p w14:paraId="4FE329F1">
            <w:pPr>
              <w:jc w:val="both"/>
              <w:rPr>
                <w:rFonts w:ascii="宋体" w:hAnsi="宋体" w:eastAsia="宋体" w:cs="宋体"/>
                <w:sz w:val="20"/>
                <w:szCs w:val="20"/>
                <w:highlight w:val="none"/>
              </w:rPr>
            </w:pPr>
            <w:r>
              <w:rPr>
                <w:rFonts w:hint="eastAsia" w:ascii="宋体" w:hAnsi="宋体" w:eastAsia="宋体" w:cs="宋体"/>
                <w:sz w:val="20"/>
                <w:szCs w:val="20"/>
                <w:highlight w:val="none"/>
              </w:rPr>
              <w:t>具备有效的营业执照</w:t>
            </w:r>
          </w:p>
        </w:tc>
      </w:tr>
      <w:tr w14:paraId="78B18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Borders>
              <w:top w:val="single" w:color="auto" w:sz="4" w:space="0"/>
              <w:left w:val="single" w:color="auto" w:sz="4" w:space="0"/>
              <w:bottom w:val="single" w:color="auto" w:sz="4" w:space="0"/>
            </w:tcBorders>
          </w:tcPr>
          <w:p w14:paraId="312E6D8B">
            <w:pPr>
              <w:rPr>
                <w:rFonts w:ascii="宋体" w:hAnsi="宋体" w:eastAsia="宋体" w:cs="宋体"/>
                <w:sz w:val="20"/>
                <w:szCs w:val="20"/>
                <w:highlight w:val="none"/>
                <w:lang w:eastAsia="zh-CN"/>
              </w:rPr>
            </w:pPr>
          </w:p>
        </w:tc>
        <w:tc>
          <w:tcPr>
            <w:tcW w:w="1123" w:type="dxa"/>
            <w:vMerge w:val="continue"/>
            <w:tcBorders>
              <w:top w:val="single" w:color="auto" w:sz="4" w:space="0"/>
              <w:bottom w:val="single" w:color="auto" w:sz="4" w:space="0"/>
              <w:right w:val="single" w:color="auto" w:sz="4" w:space="0"/>
            </w:tcBorders>
          </w:tcPr>
          <w:p w14:paraId="09B382C4">
            <w:pPr>
              <w:rPr>
                <w:rFonts w:ascii="宋体" w:hAnsi="宋体" w:eastAsia="宋体" w:cs="宋体"/>
                <w:sz w:val="20"/>
                <w:szCs w:val="20"/>
                <w:highlight w:val="none"/>
                <w:lang w:eastAsia="zh-CN"/>
              </w:rPr>
            </w:pPr>
          </w:p>
        </w:tc>
        <w:tc>
          <w:tcPr>
            <w:tcW w:w="1860" w:type="dxa"/>
            <w:tcBorders>
              <w:left w:val="single" w:color="auto" w:sz="4" w:space="0"/>
            </w:tcBorders>
            <w:vAlign w:val="center"/>
          </w:tcPr>
          <w:p w14:paraId="7763E833">
            <w:pPr>
              <w:jc w:val="center"/>
              <w:rPr>
                <w:rFonts w:ascii="宋体" w:hAnsi="宋体" w:eastAsia="宋体" w:cs="宋体"/>
                <w:sz w:val="20"/>
                <w:szCs w:val="20"/>
                <w:highlight w:val="none"/>
              </w:rPr>
            </w:pPr>
            <w:r>
              <w:rPr>
                <w:rFonts w:hint="eastAsia" w:ascii="宋体" w:hAnsi="宋体" w:eastAsia="宋体" w:cs="宋体"/>
                <w:sz w:val="20"/>
                <w:szCs w:val="20"/>
                <w:highlight w:val="none"/>
                <w:lang w:val="en-US" w:eastAsia="zh-CN"/>
              </w:rPr>
              <w:t>信用等级</w:t>
            </w:r>
          </w:p>
        </w:tc>
        <w:tc>
          <w:tcPr>
            <w:tcW w:w="4757" w:type="dxa"/>
            <w:vAlign w:val="center"/>
          </w:tcPr>
          <w:p w14:paraId="698B1B00">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符合第</w:t>
            </w: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lang w:eastAsia="zh-CN"/>
              </w:rPr>
              <w:t>章“</w:t>
            </w:r>
            <w:r>
              <w:rPr>
                <w:rFonts w:hint="eastAsia" w:ascii="宋体" w:hAnsi="宋体" w:eastAsia="宋体" w:cs="宋体"/>
                <w:sz w:val="20"/>
                <w:szCs w:val="20"/>
                <w:highlight w:val="none"/>
                <w:lang w:val="en-US" w:eastAsia="zh-CN"/>
              </w:rPr>
              <w:t>询价函</w:t>
            </w:r>
            <w:r>
              <w:rPr>
                <w:rFonts w:hint="eastAsia" w:ascii="宋体" w:hAnsi="宋体" w:eastAsia="宋体" w:cs="宋体"/>
                <w:sz w:val="20"/>
                <w:szCs w:val="20"/>
                <w:highlight w:val="none"/>
                <w:lang w:eastAsia="zh-CN"/>
              </w:rPr>
              <w:t>”规定</w:t>
            </w:r>
          </w:p>
        </w:tc>
      </w:tr>
      <w:tr w14:paraId="5DAEA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04" w:type="dxa"/>
            <w:vMerge w:val="continue"/>
            <w:tcBorders>
              <w:top w:val="single" w:color="auto" w:sz="4" w:space="0"/>
              <w:left w:val="single" w:color="auto" w:sz="4" w:space="0"/>
              <w:bottom w:val="single" w:color="auto" w:sz="4" w:space="0"/>
            </w:tcBorders>
          </w:tcPr>
          <w:p w14:paraId="439C1A42">
            <w:pPr>
              <w:rPr>
                <w:rFonts w:ascii="宋体" w:hAnsi="宋体" w:eastAsia="宋体" w:cs="宋体"/>
                <w:sz w:val="20"/>
                <w:szCs w:val="20"/>
                <w:highlight w:val="none"/>
                <w:lang w:eastAsia="zh-CN"/>
              </w:rPr>
            </w:pPr>
          </w:p>
        </w:tc>
        <w:tc>
          <w:tcPr>
            <w:tcW w:w="1123" w:type="dxa"/>
            <w:vMerge w:val="continue"/>
            <w:tcBorders>
              <w:top w:val="single" w:color="auto" w:sz="4" w:space="0"/>
              <w:bottom w:val="single" w:color="auto" w:sz="4" w:space="0"/>
              <w:right w:val="single" w:color="auto" w:sz="4" w:space="0"/>
            </w:tcBorders>
          </w:tcPr>
          <w:p w14:paraId="51BD6C88">
            <w:pPr>
              <w:rPr>
                <w:rFonts w:ascii="宋体" w:hAnsi="宋体" w:eastAsia="宋体" w:cs="宋体"/>
                <w:sz w:val="20"/>
                <w:szCs w:val="20"/>
                <w:highlight w:val="none"/>
                <w:lang w:eastAsia="zh-CN"/>
              </w:rPr>
            </w:pPr>
          </w:p>
        </w:tc>
        <w:tc>
          <w:tcPr>
            <w:tcW w:w="1860" w:type="dxa"/>
            <w:tcBorders>
              <w:left w:val="single" w:color="auto" w:sz="4" w:space="0"/>
            </w:tcBorders>
            <w:vAlign w:val="center"/>
          </w:tcPr>
          <w:p w14:paraId="008613A5">
            <w:pPr>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法人无行贿犯罪证明</w:t>
            </w:r>
          </w:p>
        </w:tc>
        <w:tc>
          <w:tcPr>
            <w:tcW w:w="4757" w:type="dxa"/>
            <w:vAlign w:val="center"/>
          </w:tcPr>
          <w:p w14:paraId="1991E177">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符合第</w:t>
            </w: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lang w:eastAsia="zh-CN"/>
              </w:rPr>
              <w:t>章“</w:t>
            </w:r>
            <w:r>
              <w:rPr>
                <w:rFonts w:hint="eastAsia" w:ascii="宋体" w:hAnsi="宋体" w:eastAsia="宋体" w:cs="宋体"/>
                <w:sz w:val="20"/>
                <w:szCs w:val="20"/>
                <w:highlight w:val="none"/>
                <w:lang w:val="en-US" w:eastAsia="zh-CN"/>
              </w:rPr>
              <w:t>询价函</w:t>
            </w:r>
            <w:r>
              <w:rPr>
                <w:rFonts w:hint="eastAsia" w:ascii="宋体" w:hAnsi="宋体" w:eastAsia="宋体" w:cs="宋体"/>
                <w:sz w:val="20"/>
                <w:szCs w:val="20"/>
                <w:highlight w:val="none"/>
                <w:lang w:eastAsia="zh-CN"/>
              </w:rPr>
              <w:t>”规定</w:t>
            </w:r>
          </w:p>
        </w:tc>
      </w:tr>
      <w:tr w14:paraId="0DF43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04" w:type="dxa"/>
            <w:vMerge w:val="continue"/>
            <w:tcBorders>
              <w:top w:val="single" w:color="auto" w:sz="4" w:space="0"/>
              <w:left w:val="single" w:color="auto" w:sz="4" w:space="0"/>
              <w:bottom w:val="single" w:color="auto" w:sz="4" w:space="0"/>
            </w:tcBorders>
          </w:tcPr>
          <w:p w14:paraId="6A2318EE">
            <w:pPr>
              <w:rPr>
                <w:rFonts w:ascii="宋体" w:hAnsi="宋体" w:eastAsia="宋体" w:cs="宋体"/>
                <w:sz w:val="20"/>
                <w:szCs w:val="20"/>
                <w:highlight w:val="none"/>
                <w:lang w:eastAsia="zh-CN"/>
              </w:rPr>
            </w:pPr>
          </w:p>
        </w:tc>
        <w:tc>
          <w:tcPr>
            <w:tcW w:w="1123" w:type="dxa"/>
            <w:vMerge w:val="continue"/>
            <w:tcBorders>
              <w:top w:val="single" w:color="auto" w:sz="4" w:space="0"/>
              <w:bottom w:val="single" w:color="auto" w:sz="4" w:space="0"/>
              <w:right w:val="single" w:color="auto" w:sz="4" w:space="0"/>
            </w:tcBorders>
          </w:tcPr>
          <w:p w14:paraId="4CC5F46F">
            <w:pPr>
              <w:rPr>
                <w:rFonts w:ascii="宋体" w:hAnsi="宋体" w:eastAsia="宋体" w:cs="宋体"/>
                <w:sz w:val="20"/>
                <w:szCs w:val="20"/>
                <w:highlight w:val="none"/>
                <w:lang w:eastAsia="zh-CN"/>
              </w:rPr>
            </w:pPr>
          </w:p>
        </w:tc>
        <w:tc>
          <w:tcPr>
            <w:tcW w:w="1860" w:type="dxa"/>
            <w:tcBorders>
              <w:left w:val="single" w:color="auto" w:sz="4" w:space="0"/>
            </w:tcBorders>
            <w:vAlign w:val="center"/>
          </w:tcPr>
          <w:p w14:paraId="7F5A3568">
            <w:pPr>
              <w:jc w:val="center"/>
              <w:rPr>
                <w:rFonts w:ascii="宋体" w:hAnsi="宋体" w:eastAsia="宋体" w:cs="宋体"/>
                <w:sz w:val="20"/>
                <w:szCs w:val="20"/>
                <w:highlight w:val="none"/>
              </w:rPr>
            </w:pPr>
            <w:r>
              <w:rPr>
                <w:rFonts w:hint="eastAsia" w:ascii="宋体" w:hAnsi="宋体" w:eastAsia="宋体" w:cs="宋体"/>
                <w:sz w:val="20"/>
                <w:szCs w:val="20"/>
                <w:highlight w:val="none"/>
              </w:rPr>
              <w:t>其他要求</w:t>
            </w:r>
          </w:p>
        </w:tc>
        <w:tc>
          <w:tcPr>
            <w:tcW w:w="4757" w:type="dxa"/>
            <w:vAlign w:val="center"/>
          </w:tcPr>
          <w:p w14:paraId="030388D5">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符合第</w:t>
            </w: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lang w:eastAsia="zh-CN"/>
              </w:rPr>
              <w:t>章“</w:t>
            </w:r>
            <w:r>
              <w:rPr>
                <w:rFonts w:hint="eastAsia" w:ascii="宋体" w:hAnsi="宋体" w:eastAsia="宋体" w:cs="宋体"/>
                <w:sz w:val="20"/>
                <w:szCs w:val="20"/>
                <w:highlight w:val="none"/>
                <w:lang w:val="en-US" w:eastAsia="zh-CN"/>
              </w:rPr>
              <w:t>询价函</w:t>
            </w:r>
            <w:r>
              <w:rPr>
                <w:rFonts w:hint="eastAsia" w:ascii="宋体" w:hAnsi="宋体" w:eastAsia="宋体" w:cs="宋体"/>
                <w:sz w:val="20"/>
                <w:szCs w:val="20"/>
                <w:highlight w:val="none"/>
                <w:lang w:eastAsia="zh-CN"/>
              </w:rPr>
              <w:t>”规定</w:t>
            </w:r>
          </w:p>
        </w:tc>
      </w:tr>
      <w:tr w14:paraId="01503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restart"/>
            <w:tcBorders>
              <w:top w:val="single" w:color="auto" w:sz="4" w:space="0"/>
            </w:tcBorders>
          </w:tcPr>
          <w:p w14:paraId="307F9B72">
            <w:pPr>
              <w:jc w:val="center"/>
              <w:rPr>
                <w:rFonts w:ascii="宋体" w:hAnsi="宋体" w:eastAsia="宋体" w:cs="宋体"/>
                <w:sz w:val="20"/>
                <w:szCs w:val="20"/>
                <w:highlight w:val="none"/>
                <w:lang w:eastAsia="zh-CN"/>
              </w:rPr>
            </w:pPr>
          </w:p>
          <w:p w14:paraId="08A107AC">
            <w:pPr>
              <w:jc w:val="center"/>
              <w:rPr>
                <w:rFonts w:ascii="宋体" w:hAnsi="宋体" w:eastAsia="宋体" w:cs="宋体"/>
                <w:sz w:val="20"/>
                <w:szCs w:val="20"/>
                <w:highlight w:val="none"/>
                <w:lang w:eastAsia="zh-CN"/>
              </w:rPr>
            </w:pPr>
          </w:p>
          <w:p w14:paraId="29697C86">
            <w:pPr>
              <w:jc w:val="center"/>
              <w:rPr>
                <w:rFonts w:ascii="宋体" w:hAnsi="宋体" w:eastAsia="宋体" w:cs="宋体"/>
                <w:sz w:val="20"/>
                <w:szCs w:val="20"/>
                <w:highlight w:val="none"/>
                <w:lang w:eastAsia="zh-CN"/>
              </w:rPr>
            </w:pPr>
          </w:p>
          <w:p w14:paraId="5EFDD621">
            <w:pPr>
              <w:jc w:val="center"/>
              <w:rPr>
                <w:rFonts w:ascii="宋体" w:hAnsi="宋体" w:eastAsia="宋体" w:cs="宋体"/>
                <w:sz w:val="20"/>
                <w:szCs w:val="20"/>
                <w:highlight w:val="none"/>
                <w:lang w:eastAsia="zh-CN"/>
              </w:rPr>
            </w:pPr>
          </w:p>
          <w:p w14:paraId="1D052E4A">
            <w:pPr>
              <w:jc w:val="center"/>
              <w:rPr>
                <w:rFonts w:ascii="宋体" w:hAnsi="宋体" w:eastAsia="宋体" w:cs="宋体"/>
                <w:sz w:val="20"/>
                <w:szCs w:val="20"/>
                <w:highlight w:val="none"/>
              </w:rPr>
            </w:pPr>
            <w:r>
              <w:rPr>
                <w:rFonts w:hint="eastAsia" w:ascii="宋体" w:hAnsi="宋体" w:eastAsia="宋体" w:cs="宋体"/>
                <w:sz w:val="20"/>
                <w:szCs w:val="20"/>
                <w:highlight w:val="none"/>
              </w:rPr>
              <w:t>2.1.3</w:t>
            </w:r>
          </w:p>
        </w:tc>
        <w:tc>
          <w:tcPr>
            <w:tcW w:w="1123" w:type="dxa"/>
            <w:vMerge w:val="restart"/>
            <w:tcBorders>
              <w:top w:val="single" w:color="auto" w:sz="4" w:space="0"/>
            </w:tcBorders>
          </w:tcPr>
          <w:p w14:paraId="264CF522">
            <w:pPr>
              <w:jc w:val="center"/>
              <w:rPr>
                <w:rFonts w:ascii="宋体" w:hAnsi="宋体" w:eastAsia="宋体" w:cs="宋体"/>
                <w:sz w:val="20"/>
                <w:szCs w:val="20"/>
                <w:highlight w:val="none"/>
              </w:rPr>
            </w:pPr>
          </w:p>
          <w:p w14:paraId="4D56DA5C">
            <w:pPr>
              <w:jc w:val="center"/>
              <w:rPr>
                <w:rFonts w:ascii="宋体" w:hAnsi="宋体" w:eastAsia="宋体" w:cs="宋体"/>
                <w:sz w:val="20"/>
                <w:szCs w:val="20"/>
                <w:highlight w:val="none"/>
              </w:rPr>
            </w:pPr>
          </w:p>
          <w:p w14:paraId="0E275174">
            <w:pPr>
              <w:jc w:val="center"/>
              <w:rPr>
                <w:rFonts w:ascii="宋体" w:hAnsi="宋体" w:eastAsia="宋体" w:cs="宋体"/>
                <w:sz w:val="20"/>
                <w:szCs w:val="20"/>
                <w:highlight w:val="none"/>
              </w:rPr>
            </w:pPr>
          </w:p>
          <w:p w14:paraId="510DDA53">
            <w:pPr>
              <w:jc w:val="center"/>
              <w:rPr>
                <w:rFonts w:ascii="宋体" w:hAnsi="宋体" w:eastAsia="宋体" w:cs="宋体"/>
                <w:sz w:val="20"/>
                <w:szCs w:val="20"/>
                <w:highlight w:val="none"/>
              </w:rPr>
            </w:pPr>
          </w:p>
          <w:p w14:paraId="5EBE94B3">
            <w:pPr>
              <w:jc w:val="center"/>
              <w:rPr>
                <w:rFonts w:ascii="宋体" w:hAnsi="宋体" w:eastAsia="宋体" w:cs="宋体"/>
                <w:sz w:val="20"/>
                <w:szCs w:val="20"/>
                <w:highlight w:val="none"/>
              </w:rPr>
            </w:pPr>
            <w:r>
              <w:rPr>
                <w:rFonts w:hint="eastAsia" w:ascii="宋体" w:hAnsi="宋体" w:eastAsia="宋体" w:cs="宋体"/>
                <w:sz w:val="20"/>
                <w:szCs w:val="20"/>
                <w:highlight w:val="none"/>
              </w:rPr>
              <w:t>响应性评</w:t>
            </w:r>
          </w:p>
          <w:p w14:paraId="7458C428">
            <w:pPr>
              <w:jc w:val="center"/>
              <w:rPr>
                <w:rFonts w:ascii="宋体" w:hAnsi="宋体" w:eastAsia="宋体" w:cs="宋体"/>
                <w:sz w:val="20"/>
                <w:szCs w:val="20"/>
                <w:highlight w:val="none"/>
              </w:rPr>
            </w:pPr>
            <w:r>
              <w:rPr>
                <w:rFonts w:hint="eastAsia" w:ascii="宋体" w:hAnsi="宋体" w:eastAsia="宋体" w:cs="宋体"/>
                <w:sz w:val="20"/>
                <w:szCs w:val="20"/>
                <w:highlight w:val="none"/>
              </w:rPr>
              <w:t>审标准</w:t>
            </w:r>
          </w:p>
        </w:tc>
        <w:tc>
          <w:tcPr>
            <w:tcW w:w="1860" w:type="dxa"/>
            <w:vAlign w:val="center"/>
          </w:tcPr>
          <w:p w14:paraId="5E2032BE">
            <w:pPr>
              <w:jc w:val="center"/>
              <w:rPr>
                <w:rFonts w:ascii="宋体" w:hAnsi="宋体" w:eastAsia="宋体" w:cs="宋体"/>
                <w:sz w:val="20"/>
                <w:szCs w:val="20"/>
                <w:highlight w:val="none"/>
              </w:rPr>
            </w:pPr>
            <w:r>
              <w:rPr>
                <w:rFonts w:hint="eastAsia" w:ascii="宋体" w:hAnsi="宋体" w:eastAsia="宋体" w:cs="宋体"/>
                <w:sz w:val="20"/>
                <w:szCs w:val="20"/>
                <w:highlight w:val="none"/>
              </w:rPr>
              <w:t>投标内容</w:t>
            </w:r>
          </w:p>
        </w:tc>
        <w:tc>
          <w:tcPr>
            <w:tcW w:w="4757" w:type="dxa"/>
            <w:vAlign w:val="center"/>
          </w:tcPr>
          <w:p w14:paraId="74C959AC">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符合第</w:t>
            </w: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lang w:eastAsia="zh-CN"/>
              </w:rPr>
              <w:t>章“</w:t>
            </w:r>
            <w:r>
              <w:rPr>
                <w:rFonts w:hint="eastAsia" w:ascii="宋体" w:hAnsi="宋体" w:eastAsia="宋体" w:cs="宋体"/>
                <w:sz w:val="20"/>
                <w:szCs w:val="20"/>
                <w:highlight w:val="none"/>
                <w:lang w:val="en-US" w:eastAsia="zh-CN"/>
              </w:rPr>
              <w:t>询价函</w:t>
            </w:r>
            <w:r>
              <w:rPr>
                <w:rFonts w:hint="eastAsia" w:ascii="宋体" w:hAnsi="宋体" w:eastAsia="宋体" w:cs="宋体"/>
                <w:sz w:val="20"/>
                <w:szCs w:val="20"/>
                <w:highlight w:val="none"/>
                <w:lang w:eastAsia="zh-CN"/>
              </w:rPr>
              <w:t>”规定</w:t>
            </w:r>
          </w:p>
        </w:tc>
      </w:tr>
      <w:tr w14:paraId="07D85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Pr>
          <w:p w14:paraId="43F9CF39">
            <w:pPr>
              <w:rPr>
                <w:rFonts w:ascii="宋体" w:hAnsi="宋体" w:eastAsia="宋体" w:cs="宋体"/>
                <w:sz w:val="20"/>
                <w:szCs w:val="20"/>
                <w:highlight w:val="none"/>
                <w:lang w:eastAsia="zh-CN"/>
              </w:rPr>
            </w:pPr>
          </w:p>
        </w:tc>
        <w:tc>
          <w:tcPr>
            <w:tcW w:w="1123" w:type="dxa"/>
            <w:vMerge w:val="continue"/>
          </w:tcPr>
          <w:p w14:paraId="71F15F36">
            <w:pPr>
              <w:rPr>
                <w:rFonts w:ascii="宋体" w:hAnsi="宋体" w:eastAsia="宋体" w:cs="宋体"/>
                <w:sz w:val="20"/>
                <w:szCs w:val="20"/>
                <w:highlight w:val="none"/>
                <w:lang w:eastAsia="zh-CN"/>
              </w:rPr>
            </w:pPr>
          </w:p>
        </w:tc>
        <w:tc>
          <w:tcPr>
            <w:tcW w:w="1860" w:type="dxa"/>
            <w:vAlign w:val="center"/>
          </w:tcPr>
          <w:p w14:paraId="43A08464">
            <w:pPr>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供货期</w:t>
            </w:r>
          </w:p>
        </w:tc>
        <w:tc>
          <w:tcPr>
            <w:tcW w:w="4757" w:type="dxa"/>
            <w:vAlign w:val="center"/>
          </w:tcPr>
          <w:p w14:paraId="2F40B598">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符合第</w:t>
            </w: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lang w:eastAsia="zh-CN"/>
              </w:rPr>
              <w:t>章“</w:t>
            </w:r>
            <w:r>
              <w:rPr>
                <w:rFonts w:hint="eastAsia" w:ascii="宋体" w:hAnsi="宋体" w:eastAsia="宋体" w:cs="宋体"/>
                <w:sz w:val="20"/>
                <w:szCs w:val="20"/>
                <w:highlight w:val="none"/>
                <w:lang w:val="en-US" w:eastAsia="zh-CN"/>
              </w:rPr>
              <w:t>询价函</w:t>
            </w:r>
            <w:r>
              <w:rPr>
                <w:rFonts w:hint="eastAsia" w:ascii="宋体" w:hAnsi="宋体" w:eastAsia="宋体" w:cs="宋体"/>
                <w:sz w:val="20"/>
                <w:szCs w:val="20"/>
                <w:highlight w:val="none"/>
                <w:lang w:eastAsia="zh-CN"/>
              </w:rPr>
              <w:t>”规定</w:t>
            </w:r>
          </w:p>
        </w:tc>
      </w:tr>
      <w:tr w14:paraId="4EBA2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Pr>
          <w:p w14:paraId="6DBA4E66">
            <w:pPr>
              <w:rPr>
                <w:rFonts w:ascii="宋体" w:hAnsi="宋体" w:eastAsia="宋体" w:cs="宋体"/>
                <w:sz w:val="20"/>
                <w:szCs w:val="20"/>
                <w:highlight w:val="none"/>
                <w:lang w:eastAsia="zh-CN"/>
              </w:rPr>
            </w:pPr>
          </w:p>
        </w:tc>
        <w:tc>
          <w:tcPr>
            <w:tcW w:w="1123" w:type="dxa"/>
            <w:vMerge w:val="continue"/>
          </w:tcPr>
          <w:p w14:paraId="741FD0AE">
            <w:pPr>
              <w:rPr>
                <w:rFonts w:ascii="宋体" w:hAnsi="宋体" w:eastAsia="宋体" w:cs="宋体"/>
                <w:sz w:val="20"/>
                <w:szCs w:val="20"/>
                <w:highlight w:val="none"/>
                <w:lang w:eastAsia="zh-CN"/>
              </w:rPr>
            </w:pPr>
          </w:p>
        </w:tc>
        <w:tc>
          <w:tcPr>
            <w:tcW w:w="1860" w:type="dxa"/>
            <w:vAlign w:val="center"/>
          </w:tcPr>
          <w:p w14:paraId="0737375B">
            <w:pPr>
              <w:jc w:val="center"/>
              <w:rPr>
                <w:rFonts w:ascii="宋体" w:hAnsi="宋体" w:eastAsia="宋体" w:cs="宋体"/>
                <w:sz w:val="20"/>
                <w:szCs w:val="20"/>
                <w:highlight w:val="none"/>
              </w:rPr>
            </w:pPr>
            <w:r>
              <w:rPr>
                <w:rFonts w:hint="eastAsia" w:ascii="宋体" w:hAnsi="宋体" w:eastAsia="宋体" w:cs="宋体"/>
                <w:sz w:val="20"/>
                <w:szCs w:val="20"/>
                <w:highlight w:val="none"/>
              </w:rPr>
              <w:t>投标有效期</w:t>
            </w:r>
          </w:p>
        </w:tc>
        <w:tc>
          <w:tcPr>
            <w:tcW w:w="4757" w:type="dxa"/>
            <w:vAlign w:val="center"/>
          </w:tcPr>
          <w:p w14:paraId="442880A4">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符合第</w:t>
            </w:r>
            <w:r>
              <w:rPr>
                <w:rFonts w:hint="eastAsia" w:ascii="宋体" w:hAnsi="宋体" w:eastAsia="宋体" w:cs="宋体"/>
                <w:sz w:val="20"/>
                <w:szCs w:val="20"/>
                <w:highlight w:val="none"/>
                <w:lang w:val="en-US" w:eastAsia="zh-CN"/>
              </w:rPr>
              <w:t>一</w:t>
            </w:r>
            <w:r>
              <w:rPr>
                <w:rFonts w:hint="eastAsia" w:ascii="宋体" w:hAnsi="宋体" w:eastAsia="宋体" w:cs="宋体"/>
                <w:sz w:val="20"/>
                <w:szCs w:val="20"/>
                <w:highlight w:val="none"/>
                <w:lang w:eastAsia="zh-CN"/>
              </w:rPr>
              <w:t>章“</w:t>
            </w:r>
            <w:r>
              <w:rPr>
                <w:rFonts w:hint="eastAsia" w:ascii="宋体" w:hAnsi="宋体" w:eastAsia="宋体" w:cs="宋体"/>
                <w:sz w:val="20"/>
                <w:szCs w:val="20"/>
                <w:highlight w:val="none"/>
                <w:lang w:val="en-US" w:eastAsia="zh-CN"/>
              </w:rPr>
              <w:t>询价函</w:t>
            </w:r>
            <w:r>
              <w:rPr>
                <w:rFonts w:hint="eastAsia" w:ascii="宋体" w:hAnsi="宋体" w:eastAsia="宋体" w:cs="宋体"/>
                <w:sz w:val="20"/>
                <w:szCs w:val="20"/>
                <w:highlight w:val="none"/>
                <w:lang w:eastAsia="zh-CN"/>
              </w:rPr>
              <w:t>”规定</w:t>
            </w:r>
          </w:p>
        </w:tc>
      </w:tr>
      <w:tr w14:paraId="7368C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904" w:type="dxa"/>
            <w:vMerge w:val="continue"/>
          </w:tcPr>
          <w:p w14:paraId="6368BE1C">
            <w:pPr>
              <w:rPr>
                <w:highlight w:val="none"/>
                <w:lang w:eastAsia="zh-CN"/>
              </w:rPr>
            </w:pPr>
          </w:p>
        </w:tc>
        <w:tc>
          <w:tcPr>
            <w:tcW w:w="1123" w:type="dxa"/>
            <w:vMerge w:val="continue"/>
          </w:tcPr>
          <w:p w14:paraId="40182FB3">
            <w:pPr>
              <w:rPr>
                <w:highlight w:val="none"/>
                <w:lang w:eastAsia="zh-CN"/>
              </w:rPr>
            </w:pPr>
          </w:p>
        </w:tc>
        <w:tc>
          <w:tcPr>
            <w:tcW w:w="1860" w:type="dxa"/>
            <w:vAlign w:val="center"/>
          </w:tcPr>
          <w:p w14:paraId="60B758E8">
            <w:pPr>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rPr>
              <w:t>技术标准</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要求及方案深化设计</w:t>
            </w:r>
          </w:p>
        </w:tc>
        <w:tc>
          <w:tcPr>
            <w:tcW w:w="4757" w:type="dxa"/>
            <w:vAlign w:val="center"/>
          </w:tcPr>
          <w:p w14:paraId="21A4C774">
            <w:pPr>
              <w:jc w:val="both"/>
              <w:rPr>
                <w:rFonts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符合第</w:t>
            </w:r>
            <w:r>
              <w:rPr>
                <w:rFonts w:hint="eastAsia" w:ascii="宋体" w:hAnsi="宋体" w:eastAsia="宋体" w:cs="宋体"/>
                <w:sz w:val="20"/>
                <w:szCs w:val="20"/>
                <w:highlight w:val="none"/>
                <w:lang w:val="en-US" w:eastAsia="zh-CN"/>
              </w:rPr>
              <w:t>三</w:t>
            </w:r>
            <w:r>
              <w:rPr>
                <w:rFonts w:hint="eastAsia" w:ascii="宋体" w:hAnsi="宋体" w:eastAsia="宋体" w:cs="宋体"/>
                <w:sz w:val="20"/>
                <w:szCs w:val="20"/>
                <w:highlight w:val="none"/>
                <w:lang w:eastAsia="zh-CN"/>
              </w:rPr>
              <w:t>章“</w:t>
            </w:r>
            <w:r>
              <w:rPr>
                <w:rFonts w:hint="eastAsia" w:ascii="宋体" w:hAnsi="宋体" w:eastAsia="宋体" w:cs="宋体"/>
                <w:sz w:val="20"/>
                <w:szCs w:val="20"/>
                <w:highlight w:val="none"/>
              </w:rPr>
              <w:t>技术标准</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要求采购清单</w:t>
            </w:r>
            <w:r>
              <w:rPr>
                <w:rFonts w:hint="eastAsia" w:ascii="宋体" w:hAnsi="宋体" w:eastAsia="宋体" w:cs="宋体"/>
                <w:sz w:val="20"/>
                <w:szCs w:val="20"/>
                <w:highlight w:val="none"/>
                <w:lang w:eastAsia="zh-CN"/>
              </w:rPr>
              <w:t xml:space="preserve"> ”规定</w:t>
            </w:r>
          </w:p>
        </w:tc>
      </w:tr>
      <w:tr w14:paraId="763F5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27" w:type="dxa"/>
            <w:gridSpan w:val="2"/>
            <w:vAlign w:val="center"/>
          </w:tcPr>
          <w:p w14:paraId="76353B0D">
            <w:pPr>
              <w:jc w:val="center"/>
              <w:rPr>
                <w:rFonts w:ascii="宋体" w:hAnsi="宋体" w:eastAsia="宋体" w:cs="宋体"/>
                <w:sz w:val="20"/>
                <w:szCs w:val="20"/>
                <w:highlight w:val="none"/>
              </w:rPr>
            </w:pPr>
            <w:r>
              <w:rPr>
                <w:rFonts w:hint="eastAsia" w:ascii="宋体" w:hAnsi="宋体" w:eastAsia="宋体" w:cs="宋体"/>
                <w:sz w:val="20"/>
                <w:szCs w:val="20"/>
                <w:highlight w:val="none"/>
              </w:rPr>
              <w:t>条款号</w:t>
            </w:r>
          </w:p>
        </w:tc>
        <w:tc>
          <w:tcPr>
            <w:tcW w:w="1860" w:type="dxa"/>
            <w:vAlign w:val="center"/>
          </w:tcPr>
          <w:p w14:paraId="6DAF3E2B">
            <w:pPr>
              <w:jc w:val="center"/>
              <w:rPr>
                <w:rFonts w:ascii="宋体" w:hAnsi="宋体" w:eastAsia="宋体" w:cs="宋体"/>
                <w:sz w:val="20"/>
                <w:szCs w:val="20"/>
                <w:highlight w:val="none"/>
              </w:rPr>
            </w:pPr>
            <w:r>
              <w:rPr>
                <w:rFonts w:hint="eastAsia" w:ascii="宋体" w:hAnsi="宋体" w:eastAsia="宋体" w:cs="宋体"/>
                <w:sz w:val="20"/>
                <w:szCs w:val="20"/>
                <w:highlight w:val="none"/>
              </w:rPr>
              <w:t>条款内容</w:t>
            </w:r>
          </w:p>
        </w:tc>
        <w:tc>
          <w:tcPr>
            <w:tcW w:w="4757" w:type="dxa"/>
            <w:vAlign w:val="center"/>
          </w:tcPr>
          <w:p w14:paraId="2B6B62AD">
            <w:pPr>
              <w:jc w:val="center"/>
              <w:rPr>
                <w:rFonts w:ascii="宋体" w:hAnsi="宋体" w:eastAsia="宋体" w:cs="宋体"/>
                <w:sz w:val="20"/>
                <w:szCs w:val="20"/>
                <w:highlight w:val="none"/>
              </w:rPr>
            </w:pPr>
            <w:r>
              <w:rPr>
                <w:rFonts w:hint="eastAsia" w:ascii="宋体" w:hAnsi="宋体" w:eastAsia="宋体" w:cs="宋体"/>
                <w:sz w:val="20"/>
                <w:szCs w:val="20"/>
                <w:highlight w:val="none"/>
              </w:rPr>
              <w:t>编列内容</w:t>
            </w:r>
          </w:p>
        </w:tc>
      </w:tr>
      <w:tr w14:paraId="293D3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2027" w:type="dxa"/>
            <w:gridSpan w:val="2"/>
            <w:vAlign w:val="center"/>
          </w:tcPr>
          <w:p w14:paraId="6E45DFCB">
            <w:pPr>
              <w:spacing w:before="58" w:line="195" w:lineRule="auto"/>
              <w:jc w:val="center"/>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2.2.</w:t>
            </w:r>
            <w:r>
              <w:rPr>
                <w:rFonts w:ascii="Times New Roman" w:hAnsi="Times New Roman" w:eastAsia="Times New Roman" w:cs="Times New Roman"/>
                <w:spacing w:val="-25"/>
                <w:sz w:val="20"/>
                <w:szCs w:val="20"/>
                <w:highlight w:val="none"/>
              </w:rPr>
              <w:t xml:space="preserve"> </w:t>
            </w:r>
            <w:r>
              <w:rPr>
                <w:rFonts w:ascii="Times New Roman" w:hAnsi="Times New Roman" w:eastAsia="Times New Roman" w:cs="Times New Roman"/>
                <w:spacing w:val="2"/>
                <w:sz w:val="20"/>
                <w:szCs w:val="20"/>
                <w:highlight w:val="none"/>
              </w:rPr>
              <w:t>1</w:t>
            </w:r>
          </w:p>
        </w:tc>
        <w:tc>
          <w:tcPr>
            <w:tcW w:w="1860" w:type="dxa"/>
            <w:vAlign w:val="center"/>
          </w:tcPr>
          <w:p w14:paraId="0B11ED29">
            <w:pPr>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分值构成</w:t>
            </w:r>
          </w:p>
          <w:p w14:paraId="3EA0E015">
            <w:pPr>
              <w:jc w:val="center"/>
              <w:rPr>
                <w:rFonts w:ascii="Times New Roman" w:hAnsi="Times New Roman" w:eastAsia="Times New Roman" w:cs="Times New Roman"/>
                <w:highlight w:val="none"/>
              </w:rPr>
            </w:pPr>
            <w:r>
              <w:rPr>
                <w:rFonts w:ascii="宋体" w:hAnsi="宋体" w:eastAsia="宋体" w:cs="宋体"/>
                <w:spacing w:val="8"/>
                <w:sz w:val="20"/>
                <w:szCs w:val="20"/>
                <w:highlight w:val="none"/>
              </w:rPr>
              <w:t>(总分 100 分)</w:t>
            </w:r>
          </w:p>
        </w:tc>
        <w:tc>
          <w:tcPr>
            <w:tcW w:w="4757" w:type="dxa"/>
            <w:vAlign w:val="center"/>
          </w:tcPr>
          <w:p w14:paraId="14EF68B9">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价格评审</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55</w:t>
            </w:r>
            <w:r>
              <w:rPr>
                <w:rFonts w:hint="eastAsia" w:ascii="宋体" w:hAnsi="宋体" w:eastAsia="宋体" w:cs="宋体"/>
                <w:sz w:val="20"/>
                <w:szCs w:val="20"/>
                <w:highlight w:val="none"/>
                <w:lang w:eastAsia="zh-CN"/>
              </w:rPr>
              <w:t>分）</w:t>
            </w:r>
          </w:p>
          <w:p w14:paraId="69AEA92D">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商务评审</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11</w:t>
            </w:r>
            <w:r>
              <w:rPr>
                <w:rFonts w:hint="eastAsia" w:ascii="宋体" w:hAnsi="宋体" w:eastAsia="宋体" w:cs="宋体"/>
                <w:sz w:val="20"/>
                <w:szCs w:val="20"/>
                <w:highlight w:val="none"/>
                <w:lang w:eastAsia="zh-CN"/>
              </w:rPr>
              <w:t>分）</w:t>
            </w:r>
          </w:p>
          <w:p w14:paraId="4BCF2BA6">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技术评审</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34</w:t>
            </w:r>
            <w:r>
              <w:rPr>
                <w:rFonts w:hint="eastAsia" w:ascii="宋体" w:hAnsi="宋体" w:eastAsia="宋体" w:cs="宋体"/>
                <w:sz w:val="20"/>
                <w:szCs w:val="20"/>
                <w:highlight w:val="none"/>
                <w:lang w:eastAsia="zh-CN"/>
              </w:rPr>
              <w:t>分）</w:t>
            </w:r>
          </w:p>
        </w:tc>
      </w:tr>
      <w:tr w14:paraId="4DCF4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2027" w:type="dxa"/>
            <w:gridSpan w:val="2"/>
            <w:vAlign w:val="center"/>
          </w:tcPr>
          <w:p w14:paraId="52567C2F">
            <w:pPr>
              <w:spacing w:before="209" w:line="195" w:lineRule="auto"/>
              <w:jc w:val="center"/>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2.2.2</w:t>
            </w:r>
          </w:p>
        </w:tc>
        <w:tc>
          <w:tcPr>
            <w:tcW w:w="1860" w:type="dxa"/>
            <w:vAlign w:val="center"/>
          </w:tcPr>
          <w:p w14:paraId="1208AE1F">
            <w:pPr>
              <w:pStyle w:val="23"/>
              <w:spacing w:before="174" w:line="226" w:lineRule="auto"/>
              <w:jc w:val="center"/>
              <w:rPr>
                <w:spacing w:val="8"/>
                <w:highlight w:val="none"/>
                <w:lang w:eastAsia="zh-CN"/>
              </w:rPr>
            </w:pPr>
            <w:r>
              <w:rPr>
                <w:spacing w:val="8"/>
                <w:highlight w:val="none"/>
                <w:lang w:eastAsia="zh-CN"/>
              </w:rPr>
              <w:t>投标报价计算方法</w:t>
            </w:r>
          </w:p>
          <w:p w14:paraId="75AC22A6">
            <w:pPr>
              <w:pStyle w:val="23"/>
              <w:spacing w:before="174" w:line="226" w:lineRule="auto"/>
              <w:jc w:val="center"/>
              <w:rPr>
                <w:highlight w:val="none"/>
                <w:lang w:eastAsia="zh-CN"/>
              </w:rPr>
            </w:pPr>
            <w:r>
              <w:rPr>
                <w:rFonts w:hint="eastAsia"/>
                <w:spacing w:val="8"/>
                <w:highlight w:val="none"/>
                <w:lang w:eastAsia="zh-CN"/>
              </w:rPr>
              <w:t>（</w:t>
            </w:r>
            <w:r>
              <w:rPr>
                <w:rFonts w:hint="eastAsia"/>
                <w:spacing w:val="8"/>
                <w:highlight w:val="none"/>
                <w:lang w:val="en-US" w:eastAsia="zh-CN"/>
              </w:rPr>
              <w:t>55</w:t>
            </w:r>
            <w:r>
              <w:rPr>
                <w:rFonts w:hint="eastAsia"/>
                <w:spacing w:val="8"/>
                <w:highlight w:val="none"/>
                <w:lang w:eastAsia="zh-CN"/>
              </w:rPr>
              <w:t>分）</w:t>
            </w:r>
          </w:p>
        </w:tc>
        <w:tc>
          <w:tcPr>
            <w:tcW w:w="4757" w:type="dxa"/>
          </w:tcPr>
          <w:p w14:paraId="68F65C20">
            <w:pPr>
              <w:spacing w:line="288" w:lineRule="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eastAsia="zh-CN"/>
              </w:rPr>
              <w:t>评标基准价=所有有效标书投标报价(或最终价格)中的最低投标报价。报价得分= 评标基准价÷（投标报价）×</w:t>
            </w:r>
            <w:r>
              <w:rPr>
                <w:rFonts w:hint="eastAsia" w:ascii="宋体" w:hAnsi="宋体" w:eastAsia="宋体" w:cs="宋体"/>
                <w:sz w:val="20"/>
                <w:szCs w:val="20"/>
                <w:highlight w:val="none"/>
                <w:lang w:val="en-US" w:eastAsia="zh-CN"/>
              </w:rPr>
              <w:t>55</w:t>
            </w:r>
          </w:p>
        </w:tc>
      </w:tr>
      <w:tr w14:paraId="5EE73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27" w:type="dxa"/>
            <w:gridSpan w:val="2"/>
            <w:vAlign w:val="center"/>
          </w:tcPr>
          <w:p w14:paraId="752294E1">
            <w:pPr>
              <w:jc w:val="center"/>
              <w:rPr>
                <w:rFonts w:ascii="宋体" w:hAnsi="宋体" w:eastAsia="宋体" w:cs="宋体"/>
                <w:sz w:val="20"/>
                <w:szCs w:val="20"/>
                <w:highlight w:val="none"/>
              </w:rPr>
            </w:pPr>
            <w:r>
              <w:rPr>
                <w:rFonts w:hint="eastAsia" w:ascii="宋体" w:hAnsi="宋体" w:eastAsia="宋体" w:cs="宋体"/>
                <w:sz w:val="20"/>
                <w:szCs w:val="20"/>
                <w:highlight w:val="none"/>
              </w:rPr>
              <w:t>条款号</w:t>
            </w:r>
          </w:p>
        </w:tc>
        <w:tc>
          <w:tcPr>
            <w:tcW w:w="1860" w:type="dxa"/>
            <w:vAlign w:val="center"/>
          </w:tcPr>
          <w:p w14:paraId="0A03BAF7">
            <w:pPr>
              <w:jc w:val="center"/>
              <w:rPr>
                <w:rFonts w:ascii="宋体" w:hAnsi="宋体" w:eastAsia="宋体" w:cs="宋体"/>
                <w:sz w:val="20"/>
                <w:szCs w:val="20"/>
                <w:highlight w:val="none"/>
              </w:rPr>
            </w:pPr>
            <w:r>
              <w:rPr>
                <w:rFonts w:hint="eastAsia" w:ascii="宋体" w:hAnsi="宋体" w:eastAsia="宋体" w:cs="宋体"/>
                <w:sz w:val="20"/>
                <w:szCs w:val="20"/>
                <w:highlight w:val="none"/>
              </w:rPr>
              <w:t>评分因素</w:t>
            </w:r>
          </w:p>
        </w:tc>
        <w:tc>
          <w:tcPr>
            <w:tcW w:w="4757" w:type="dxa"/>
            <w:vAlign w:val="center"/>
          </w:tcPr>
          <w:p w14:paraId="1A9655DE">
            <w:pPr>
              <w:spacing w:line="288" w:lineRule="auto"/>
              <w:jc w:val="center"/>
              <w:rPr>
                <w:rFonts w:ascii="宋体" w:hAnsi="宋体" w:eastAsia="宋体" w:cs="宋体"/>
                <w:sz w:val="20"/>
                <w:szCs w:val="20"/>
                <w:highlight w:val="none"/>
              </w:rPr>
            </w:pPr>
            <w:r>
              <w:rPr>
                <w:rFonts w:hint="eastAsia" w:ascii="宋体" w:hAnsi="宋体" w:eastAsia="宋体" w:cs="宋体"/>
                <w:sz w:val="20"/>
                <w:szCs w:val="20"/>
                <w:highlight w:val="none"/>
              </w:rPr>
              <w:t>评分标准</w:t>
            </w:r>
          </w:p>
        </w:tc>
      </w:tr>
      <w:tr w14:paraId="4C77E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restart"/>
          </w:tcPr>
          <w:p w14:paraId="7847BFCA">
            <w:pPr>
              <w:spacing w:line="244" w:lineRule="auto"/>
              <w:rPr>
                <w:highlight w:val="none"/>
              </w:rPr>
            </w:pPr>
          </w:p>
          <w:p w14:paraId="0F2B4247">
            <w:pPr>
              <w:spacing w:line="244" w:lineRule="auto"/>
              <w:rPr>
                <w:highlight w:val="none"/>
              </w:rPr>
            </w:pPr>
          </w:p>
          <w:p w14:paraId="7C733405">
            <w:pPr>
              <w:spacing w:line="245" w:lineRule="auto"/>
              <w:rPr>
                <w:highlight w:val="none"/>
              </w:rPr>
            </w:pPr>
          </w:p>
          <w:p w14:paraId="164E7797">
            <w:pPr>
              <w:spacing w:line="245" w:lineRule="auto"/>
              <w:rPr>
                <w:highlight w:val="none"/>
              </w:rPr>
            </w:pPr>
          </w:p>
          <w:p w14:paraId="247D5EE4">
            <w:pPr>
              <w:spacing w:line="245" w:lineRule="auto"/>
              <w:rPr>
                <w:highlight w:val="none"/>
              </w:rPr>
            </w:pPr>
          </w:p>
          <w:p w14:paraId="79D5D390">
            <w:pPr>
              <w:spacing w:line="245" w:lineRule="auto"/>
              <w:rPr>
                <w:highlight w:val="none"/>
              </w:rPr>
            </w:pPr>
          </w:p>
          <w:p w14:paraId="77C73516">
            <w:pPr>
              <w:spacing w:line="245" w:lineRule="auto"/>
              <w:rPr>
                <w:highlight w:val="none"/>
              </w:rPr>
            </w:pPr>
          </w:p>
          <w:p w14:paraId="06CDCC25">
            <w:pPr>
              <w:spacing w:before="57" w:line="201" w:lineRule="auto"/>
              <w:ind w:left="124"/>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2.2.</w:t>
            </w:r>
            <w:r>
              <w:rPr>
                <w:rFonts w:hint="eastAsia" w:ascii="Times New Roman" w:hAnsi="Times New Roman" w:eastAsia="宋体" w:cs="Times New Roman"/>
                <w:spacing w:val="3"/>
                <w:sz w:val="20"/>
                <w:szCs w:val="20"/>
                <w:highlight w:val="none"/>
                <w:lang w:eastAsia="zh-CN"/>
              </w:rPr>
              <w:t>3</w:t>
            </w:r>
            <w:r>
              <w:rPr>
                <w:rFonts w:ascii="Times New Roman" w:hAnsi="Times New Roman" w:eastAsia="Times New Roman" w:cs="Times New Roman"/>
                <w:spacing w:val="3"/>
                <w:sz w:val="20"/>
                <w:szCs w:val="20"/>
                <w:highlight w:val="none"/>
              </w:rPr>
              <w:t>(1)</w:t>
            </w:r>
          </w:p>
        </w:tc>
        <w:tc>
          <w:tcPr>
            <w:tcW w:w="1123" w:type="dxa"/>
            <w:vMerge w:val="restart"/>
          </w:tcPr>
          <w:p w14:paraId="2FC37580">
            <w:pPr>
              <w:spacing w:line="247" w:lineRule="auto"/>
              <w:rPr>
                <w:highlight w:val="none"/>
                <w:lang w:eastAsia="zh-CN"/>
              </w:rPr>
            </w:pPr>
          </w:p>
          <w:p w14:paraId="5A9140FF">
            <w:pPr>
              <w:spacing w:line="247" w:lineRule="auto"/>
              <w:rPr>
                <w:highlight w:val="none"/>
                <w:lang w:eastAsia="zh-CN"/>
              </w:rPr>
            </w:pPr>
          </w:p>
          <w:p w14:paraId="00A18F1C">
            <w:pPr>
              <w:spacing w:line="247" w:lineRule="auto"/>
              <w:rPr>
                <w:highlight w:val="none"/>
                <w:lang w:eastAsia="zh-CN"/>
              </w:rPr>
            </w:pPr>
          </w:p>
          <w:p w14:paraId="4103D2CD">
            <w:pPr>
              <w:spacing w:line="247" w:lineRule="auto"/>
              <w:rPr>
                <w:highlight w:val="none"/>
                <w:lang w:eastAsia="zh-CN"/>
              </w:rPr>
            </w:pPr>
          </w:p>
          <w:p w14:paraId="525EA449">
            <w:pPr>
              <w:spacing w:line="248" w:lineRule="auto"/>
              <w:rPr>
                <w:highlight w:val="none"/>
                <w:lang w:eastAsia="zh-CN"/>
              </w:rPr>
            </w:pPr>
          </w:p>
          <w:p w14:paraId="186E5AB2">
            <w:pPr>
              <w:pStyle w:val="23"/>
              <w:spacing w:before="194" w:line="228" w:lineRule="auto"/>
              <w:jc w:val="center"/>
              <w:rPr>
                <w:highlight w:val="none"/>
                <w:lang w:eastAsia="zh-CN"/>
              </w:rPr>
            </w:pPr>
            <w:r>
              <w:rPr>
                <w:rFonts w:hint="eastAsia"/>
                <w:spacing w:val="7"/>
                <w:highlight w:val="none"/>
                <w:lang w:val="en-US" w:eastAsia="zh-CN"/>
              </w:rPr>
              <w:t>商务评审</w:t>
            </w:r>
            <w:r>
              <w:rPr>
                <w:rFonts w:hint="eastAsia" w:ascii="宋体" w:hAnsi="宋体" w:eastAsia="宋体" w:cs="宋体"/>
                <w:sz w:val="20"/>
                <w:szCs w:val="20"/>
                <w:highlight w:val="none"/>
                <w:lang w:eastAsia="zh-CN"/>
              </w:rPr>
              <w:t>标准</w:t>
            </w:r>
          </w:p>
        </w:tc>
        <w:tc>
          <w:tcPr>
            <w:tcW w:w="1860" w:type="dxa"/>
            <w:shd w:val="clear" w:color="auto" w:fill="auto"/>
            <w:vAlign w:val="center"/>
          </w:tcPr>
          <w:p w14:paraId="2AB9C8BA">
            <w:pPr>
              <w:pStyle w:val="23"/>
              <w:spacing w:before="174" w:line="226" w:lineRule="auto"/>
              <w:jc w:val="center"/>
              <w:rPr>
                <w:rFonts w:hint="eastAsia" w:ascii="宋体" w:hAnsi="宋体" w:eastAsia="宋体" w:cs="宋体"/>
                <w:spacing w:val="8"/>
                <w:highlight w:val="none"/>
                <w:lang w:eastAsia="zh-CN"/>
              </w:rPr>
            </w:pPr>
            <w:r>
              <w:rPr>
                <w:rFonts w:hint="eastAsia" w:ascii="宋体" w:hAnsi="宋体" w:eastAsia="宋体" w:cs="宋体"/>
                <w:spacing w:val="8"/>
                <w:highlight w:val="none"/>
                <w:lang w:eastAsia="zh-CN"/>
              </w:rPr>
              <w:t>企业业绩</w:t>
            </w:r>
          </w:p>
          <w:p w14:paraId="74DF8A8F">
            <w:pPr>
              <w:pStyle w:val="23"/>
              <w:spacing w:before="174" w:line="226" w:lineRule="auto"/>
              <w:jc w:val="center"/>
              <w:rPr>
                <w:rFonts w:hint="eastAsia" w:ascii="宋体" w:hAnsi="宋体" w:eastAsia="宋体" w:cs="宋体"/>
                <w:snapToGrid w:val="0"/>
                <w:color w:val="000000"/>
                <w:spacing w:val="8"/>
                <w:kern w:val="0"/>
                <w:sz w:val="21"/>
                <w:szCs w:val="21"/>
                <w:highlight w:val="none"/>
                <w:lang w:val="en-US" w:eastAsia="zh-CN" w:bidi="ar-SA"/>
              </w:rPr>
            </w:pPr>
            <w:r>
              <w:rPr>
                <w:rFonts w:hint="eastAsia" w:ascii="宋体" w:hAnsi="宋体" w:eastAsia="宋体" w:cs="宋体"/>
                <w:spacing w:val="8"/>
                <w:highlight w:val="none"/>
                <w:lang w:eastAsia="zh-CN"/>
              </w:rPr>
              <w:t>（</w:t>
            </w:r>
            <w:ins w:id="5" w:author="闫晓伟" w:date="2026-06-15T10:57:11Z">
              <w:r>
                <w:rPr>
                  <w:rFonts w:hint="eastAsia" w:cs="宋体"/>
                  <w:spacing w:val="8"/>
                  <w:highlight w:val="none"/>
                  <w:lang w:val="en-US" w:eastAsia="zh-CN"/>
                </w:rPr>
                <w:t>8</w:t>
              </w:r>
            </w:ins>
            <w:del w:id="6" w:author="闫晓伟" w:date="2026-06-15T10:57:10Z">
              <w:r>
                <w:rPr>
                  <w:rFonts w:hint="eastAsia" w:cs="宋体"/>
                  <w:spacing w:val="8"/>
                  <w:highlight w:val="none"/>
                  <w:lang w:val="en-US" w:eastAsia="zh-CN"/>
                </w:rPr>
                <w:delText>6</w:delText>
              </w:r>
            </w:del>
            <w:r>
              <w:rPr>
                <w:rFonts w:hint="eastAsia" w:ascii="宋体" w:hAnsi="宋体" w:eastAsia="宋体" w:cs="宋体"/>
                <w:spacing w:val="8"/>
                <w:highlight w:val="none"/>
                <w:lang w:val="en-US" w:eastAsia="zh-CN"/>
              </w:rPr>
              <w:t>分</w:t>
            </w:r>
            <w:r>
              <w:rPr>
                <w:rFonts w:hint="eastAsia" w:ascii="宋体" w:hAnsi="宋体" w:eastAsia="宋体" w:cs="宋体"/>
                <w:spacing w:val="8"/>
                <w:highlight w:val="none"/>
                <w:lang w:eastAsia="zh-CN"/>
              </w:rPr>
              <w:t>）</w:t>
            </w:r>
          </w:p>
        </w:tc>
        <w:tc>
          <w:tcPr>
            <w:tcW w:w="4757" w:type="dxa"/>
            <w:shd w:val="clear" w:color="auto" w:fill="auto"/>
            <w:vAlign w:val="top"/>
          </w:tcPr>
          <w:p w14:paraId="6EC4C687">
            <w:pPr>
              <w:spacing w:line="288" w:lineRule="auto"/>
              <w:rPr>
                <w:rFonts w:hint="eastAsia" w:ascii="宋体" w:hAnsi="宋体" w:eastAsia="宋体" w:cs="宋体"/>
                <w:sz w:val="20"/>
                <w:szCs w:val="20"/>
                <w:highlight w:val="none"/>
                <w:lang w:val="zh-CN" w:eastAsia="zh-CN"/>
              </w:rPr>
            </w:pPr>
            <w:commentRangeStart w:id="8"/>
            <w:r>
              <w:rPr>
                <w:rFonts w:hint="eastAsia" w:ascii="宋体" w:hAnsi="宋体" w:eastAsia="宋体" w:cs="宋体"/>
                <w:sz w:val="21"/>
                <w:szCs w:val="21"/>
                <w:highlight w:val="none"/>
                <w:lang w:val="zh-CN" w:eastAsia="zh-CN"/>
              </w:rPr>
              <w:t>比较近三年（</w:t>
            </w:r>
            <w:r>
              <w:rPr>
                <w:rFonts w:hint="eastAsia" w:ascii="宋体" w:hAnsi="宋体" w:eastAsia="宋体" w:cs="宋体"/>
                <w:spacing w:val="-1"/>
                <w:sz w:val="21"/>
                <w:szCs w:val="21"/>
                <w:highlight w:val="none"/>
                <w:lang w:val="en-US" w:eastAsia="zh-CN"/>
              </w:rPr>
              <w:t>2023年5月1日至2026年4月30日签订的金额≥10万元人民币以上的</w:t>
            </w:r>
            <w:r>
              <w:rPr>
                <w:rFonts w:hint="eastAsia" w:ascii="宋体" w:hAnsi="宋体" w:eastAsia="宋体" w:cs="宋体"/>
                <w:sz w:val="21"/>
                <w:szCs w:val="21"/>
                <w:highlight w:val="none"/>
                <w:lang w:val="zh-CN" w:eastAsia="zh-CN"/>
              </w:rPr>
              <w:t>）</w:t>
            </w:r>
            <w:commentRangeEnd w:id="8"/>
            <w:r>
              <w:rPr>
                <w:highlight w:val="none"/>
              </w:rPr>
              <w:commentReference w:id="8"/>
            </w:r>
            <w:r>
              <w:rPr>
                <w:rFonts w:hint="eastAsia" w:ascii="宋体" w:hAnsi="宋体" w:eastAsia="宋体" w:cs="宋体"/>
                <w:sz w:val="20"/>
                <w:szCs w:val="20"/>
                <w:highlight w:val="none"/>
                <w:lang w:val="zh-CN" w:eastAsia="zh-CN"/>
              </w:rPr>
              <w:t>投标人承担同类项目的业绩，（合同方必须与投标</w:t>
            </w:r>
            <w:r>
              <w:rPr>
                <w:rFonts w:hint="eastAsia" w:ascii="宋体" w:hAnsi="宋体" w:eastAsia="宋体" w:cs="宋体"/>
                <w:sz w:val="20"/>
                <w:szCs w:val="20"/>
                <w:highlight w:val="none"/>
                <w:lang w:val="en-US" w:eastAsia="zh-CN"/>
              </w:rPr>
              <w:t>人</w:t>
            </w:r>
            <w:r>
              <w:rPr>
                <w:rFonts w:hint="eastAsia" w:ascii="宋体" w:hAnsi="宋体" w:eastAsia="宋体" w:cs="宋体"/>
                <w:sz w:val="20"/>
                <w:szCs w:val="20"/>
                <w:highlight w:val="none"/>
                <w:lang w:val="zh-CN" w:eastAsia="zh-CN"/>
              </w:rPr>
              <w:t>全称完全一致，</w:t>
            </w:r>
            <w:r>
              <w:rPr>
                <w:rFonts w:hint="eastAsia" w:ascii="宋体" w:hAnsi="宋体" w:eastAsia="宋体" w:cs="宋体"/>
                <w:sz w:val="20"/>
                <w:szCs w:val="20"/>
                <w:highlight w:val="none"/>
                <w:lang w:val="en-US" w:eastAsia="zh-CN"/>
              </w:rPr>
              <w:t>每份得2分，</w:t>
            </w:r>
            <w:r>
              <w:rPr>
                <w:rFonts w:hint="eastAsia" w:ascii="宋体" w:hAnsi="宋体" w:eastAsia="宋体" w:cs="宋体"/>
                <w:sz w:val="20"/>
                <w:szCs w:val="20"/>
                <w:highlight w:val="none"/>
                <w:lang w:val="zh-CN" w:eastAsia="zh-CN"/>
              </w:rPr>
              <w:t>最多提供</w:t>
            </w:r>
            <w:ins w:id="7" w:author="闫晓伟" w:date="2026-06-15T10:57:14Z">
              <w:r>
                <w:rPr>
                  <w:rFonts w:hint="eastAsia" w:ascii="宋体" w:hAnsi="宋体" w:eastAsia="宋体" w:cs="宋体"/>
                  <w:sz w:val="20"/>
                  <w:szCs w:val="20"/>
                  <w:highlight w:val="none"/>
                  <w:lang w:val="en-US" w:eastAsia="zh-CN"/>
                </w:rPr>
                <w:t>4</w:t>
              </w:r>
            </w:ins>
            <w:del w:id="8" w:author="闫晓伟" w:date="2026-06-15T10:57:14Z">
              <w:r>
                <w:rPr>
                  <w:rFonts w:hint="eastAsia" w:ascii="宋体" w:hAnsi="宋体" w:eastAsia="宋体" w:cs="宋体"/>
                  <w:sz w:val="20"/>
                  <w:szCs w:val="20"/>
                  <w:highlight w:val="none"/>
                  <w:lang w:val="en-US" w:eastAsia="zh-CN"/>
                </w:rPr>
                <w:delText>3</w:delText>
              </w:r>
            </w:del>
            <w:r>
              <w:rPr>
                <w:rFonts w:hint="eastAsia" w:ascii="宋体" w:hAnsi="宋体" w:eastAsia="宋体" w:cs="宋体"/>
                <w:sz w:val="20"/>
                <w:szCs w:val="20"/>
                <w:highlight w:val="none"/>
                <w:lang w:val="zh-CN" w:eastAsia="zh-CN"/>
              </w:rPr>
              <w:t>份合同）。</w:t>
            </w:r>
          </w:p>
          <w:p w14:paraId="1AFC9757">
            <w:pPr>
              <w:spacing w:line="288" w:lineRule="auto"/>
              <w:rPr>
                <w:rFonts w:hint="eastAsia" w:ascii="宋体" w:hAnsi="宋体" w:eastAsia="宋体" w:cs="宋体"/>
                <w:sz w:val="20"/>
                <w:szCs w:val="20"/>
                <w:highlight w:val="none"/>
                <w:lang w:val="zh-CN" w:eastAsia="zh-CN"/>
              </w:rPr>
            </w:pPr>
            <w:r>
              <w:rPr>
                <w:rFonts w:hint="eastAsia" w:ascii="宋体" w:hAnsi="宋体" w:eastAsia="宋体" w:cs="宋体"/>
                <w:sz w:val="20"/>
                <w:szCs w:val="20"/>
                <w:highlight w:val="none"/>
                <w:lang w:val="zh-CN" w:eastAsia="zh-CN"/>
              </w:rPr>
              <w:t>注：</w:t>
            </w:r>
          </w:p>
          <w:p w14:paraId="7669862D">
            <w:pPr>
              <w:spacing w:line="288" w:lineRule="auto"/>
              <w:rPr>
                <w:rFonts w:hint="eastAsia" w:ascii="宋体" w:hAnsi="宋体" w:eastAsia="宋体" w:cs="宋体"/>
                <w:sz w:val="20"/>
                <w:szCs w:val="20"/>
                <w:highlight w:val="none"/>
                <w:lang w:val="zh-CN" w:eastAsia="zh-CN"/>
              </w:rPr>
            </w:pPr>
            <w:r>
              <w:rPr>
                <w:rFonts w:hint="eastAsia" w:ascii="宋体" w:hAnsi="宋体" w:eastAsia="宋体" w:cs="宋体"/>
                <w:sz w:val="20"/>
                <w:szCs w:val="20"/>
                <w:highlight w:val="none"/>
                <w:lang w:val="zh-CN" w:eastAsia="zh-CN"/>
              </w:rPr>
              <w:t>（1）合同复印件应加盖公章。</w:t>
            </w:r>
          </w:p>
          <w:p w14:paraId="087EE6E9">
            <w:pPr>
              <w:spacing w:line="288" w:lineRule="auto"/>
              <w:rPr>
                <w:rFonts w:hint="eastAsia" w:ascii="宋体" w:hAnsi="宋体" w:eastAsia="宋体" w:cs="宋体"/>
                <w:sz w:val="20"/>
                <w:szCs w:val="20"/>
                <w:highlight w:val="none"/>
                <w:lang w:val="zh-CN" w:eastAsia="zh-CN"/>
              </w:rPr>
            </w:pPr>
            <w:r>
              <w:rPr>
                <w:rFonts w:hint="eastAsia" w:ascii="宋体" w:hAnsi="宋体" w:eastAsia="宋体" w:cs="宋体"/>
                <w:sz w:val="20"/>
                <w:szCs w:val="20"/>
                <w:highlight w:val="none"/>
                <w:lang w:val="zh-CN" w:eastAsia="zh-CN"/>
              </w:rPr>
              <w:t>（2）时间界定以合同签订日期为准。</w:t>
            </w:r>
          </w:p>
          <w:p w14:paraId="090518AC">
            <w:pPr>
              <w:spacing w:line="288" w:lineRule="auto"/>
              <w:rPr>
                <w:rFonts w:hint="eastAsia" w:ascii="宋体" w:hAnsi="宋体" w:eastAsia="宋体" w:cs="宋体"/>
                <w:snapToGrid w:val="0"/>
                <w:color w:val="000000"/>
                <w:kern w:val="0"/>
                <w:sz w:val="20"/>
                <w:szCs w:val="20"/>
                <w:highlight w:val="none"/>
                <w:lang w:val="en-US" w:eastAsia="zh-CN" w:bidi="ar-SA"/>
              </w:rPr>
            </w:pPr>
            <w:r>
              <w:rPr>
                <w:rFonts w:hint="eastAsia" w:ascii="宋体" w:hAnsi="宋体" w:eastAsia="宋体" w:cs="宋体"/>
                <w:sz w:val="20"/>
                <w:szCs w:val="20"/>
                <w:highlight w:val="none"/>
                <w:lang w:val="zh-CN" w:eastAsia="zh-CN"/>
              </w:rPr>
              <w:t>（</w:t>
            </w:r>
            <w:r>
              <w:rPr>
                <w:rFonts w:hint="eastAsia" w:ascii="宋体" w:hAnsi="宋体" w:eastAsia="宋体" w:cs="宋体"/>
                <w:sz w:val="20"/>
                <w:szCs w:val="20"/>
                <w:highlight w:val="none"/>
                <w:lang w:val="en-US" w:eastAsia="zh-CN"/>
              </w:rPr>
              <w:t>3</w:t>
            </w:r>
            <w:r>
              <w:rPr>
                <w:rFonts w:hint="eastAsia" w:ascii="宋体" w:hAnsi="宋体" w:eastAsia="宋体" w:cs="宋体"/>
                <w:sz w:val="20"/>
                <w:szCs w:val="20"/>
                <w:highlight w:val="none"/>
                <w:lang w:val="zh-CN" w:eastAsia="zh-CN"/>
              </w:rPr>
              <w:t>）未按要求提交合同，或合同时间和内容不符合要求，或合同金额不清晰的，均不予计分。</w:t>
            </w:r>
          </w:p>
        </w:tc>
      </w:tr>
      <w:tr w14:paraId="6F237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904" w:type="dxa"/>
            <w:vMerge w:val="continue"/>
          </w:tcPr>
          <w:p w14:paraId="646C5CD1">
            <w:pPr>
              <w:rPr>
                <w:highlight w:val="none"/>
                <w:lang w:eastAsia="zh-CN"/>
              </w:rPr>
            </w:pPr>
          </w:p>
        </w:tc>
        <w:tc>
          <w:tcPr>
            <w:tcW w:w="1123" w:type="dxa"/>
            <w:vMerge w:val="continue"/>
          </w:tcPr>
          <w:p w14:paraId="01F06156">
            <w:pPr>
              <w:rPr>
                <w:highlight w:val="none"/>
                <w:lang w:eastAsia="zh-CN"/>
              </w:rPr>
            </w:pPr>
          </w:p>
        </w:tc>
        <w:tc>
          <w:tcPr>
            <w:tcW w:w="1860" w:type="dxa"/>
            <w:shd w:val="clear" w:color="auto" w:fill="auto"/>
            <w:vAlign w:val="center"/>
          </w:tcPr>
          <w:p w14:paraId="4C774D45">
            <w:pPr>
              <w:pStyle w:val="23"/>
              <w:spacing w:before="174" w:line="226" w:lineRule="auto"/>
              <w:jc w:val="center"/>
              <w:rPr>
                <w:rFonts w:ascii="宋体" w:hAnsi="宋体" w:eastAsia="宋体" w:cs="宋体"/>
                <w:spacing w:val="8"/>
                <w:highlight w:val="none"/>
                <w:lang w:eastAsia="zh-CN"/>
              </w:rPr>
            </w:pPr>
          </w:p>
          <w:p w14:paraId="4E10F0E9">
            <w:pPr>
              <w:pStyle w:val="23"/>
              <w:spacing w:before="174" w:line="226" w:lineRule="auto"/>
              <w:jc w:val="center"/>
              <w:rPr>
                <w:rFonts w:hint="eastAsia" w:ascii="宋体" w:hAnsi="宋体" w:eastAsia="宋体" w:cs="宋体"/>
                <w:spacing w:val="8"/>
                <w:highlight w:val="none"/>
                <w:lang w:eastAsia="zh-CN"/>
              </w:rPr>
            </w:pPr>
            <w:r>
              <w:rPr>
                <w:rFonts w:hint="eastAsia" w:ascii="宋体" w:hAnsi="宋体" w:eastAsia="宋体" w:cs="宋体"/>
                <w:spacing w:val="8"/>
                <w:highlight w:val="none"/>
                <w:lang w:eastAsia="zh-CN"/>
              </w:rPr>
              <w:t>企业认证</w:t>
            </w:r>
          </w:p>
          <w:p w14:paraId="335C7660">
            <w:pPr>
              <w:pStyle w:val="23"/>
              <w:spacing w:before="174" w:line="226" w:lineRule="auto"/>
              <w:jc w:val="center"/>
              <w:rPr>
                <w:rFonts w:hint="eastAsia" w:ascii="宋体" w:hAnsi="宋体" w:eastAsia="宋体" w:cs="宋体"/>
                <w:spacing w:val="8"/>
                <w:highlight w:val="none"/>
                <w:lang w:eastAsia="zh-CN"/>
              </w:rPr>
            </w:pPr>
            <w:r>
              <w:rPr>
                <w:rFonts w:hint="eastAsia" w:ascii="宋体" w:hAnsi="宋体" w:eastAsia="宋体" w:cs="宋体"/>
                <w:spacing w:val="8"/>
                <w:highlight w:val="none"/>
                <w:lang w:eastAsia="zh-CN"/>
              </w:rPr>
              <w:t>（</w:t>
            </w:r>
            <w:r>
              <w:rPr>
                <w:rFonts w:hint="eastAsia" w:cs="宋体"/>
                <w:spacing w:val="8"/>
                <w:highlight w:val="none"/>
                <w:lang w:val="en-US" w:eastAsia="zh-CN"/>
              </w:rPr>
              <w:t>1</w:t>
            </w:r>
            <w:r>
              <w:rPr>
                <w:rFonts w:hint="eastAsia" w:ascii="宋体" w:hAnsi="宋体" w:eastAsia="宋体" w:cs="宋体"/>
                <w:spacing w:val="8"/>
                <w:highlight w:val="none"/>
                <w:lang w:val="en-US" w:eastAsia="zh-CN"/>
              </w:rPr>
              <w:t>分</w:t>
            </w:r>
            <w:r>
              <w:rPr>
                <w:rFonts w:hint="eastAsia" w:ascii="宋体" w:hAnsi="宋体" w:eastAsia="宋体" w:cs="宋体"/>
                <w:spacing w:val="8"/>
                <w:highlight w:val="none"/>
                <w:lang w:eastAsia="zh-CN"/>
              </w:rPr>
              <w:t>）</w:t>
            </w:r>
          </w:p>
          <w:p w14:paraId="624F9170">
            <w:pPr>
              <w:pStyle w:val="23"/>
              <w:spacing w:before="174" w:line="226" w:lineRule="auto"/>
              <w:jc w:val="center"/>
              <w:rPr>
                <w:rFonts w:ascii="宋体" w:hAnsi="宋体" w:eastAsia="宋体" w:cs="宋体"/>
                <w:spacing w:val="8"/>
                <w:highlight w:val="none"/>
                <w:lang w:val="en-US" w:eastAsia="zh-CN"/>
              </w:rPr>
            </w:pPr>
          </w:p>
        </w:tc>
        <w:tc>
          <w:tcPr>
            <w:tcW w:w="4757" w:type="dxa"/>
            <w:shd w:val="clear" w:color="auto" w:fill="auto"/>
            <w:vAlign w:val="top"/>
          </w:tcPr>
          <w:p w14:paraId="4A18797E">
            <w:pPr>
              <w:numPr>
                <w:ilvl w:val="0"/>
                <w:numId w:val="7"/>
              </w:num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投标人具有有效的质量管理体系认证证书</w:t>
            </w:r>
            <w:r>
              <w:rPr>
                <w:rFonts w:hint="eastAsia" w:ascii="宋体" w:hAnsi="宋体" w:eastAsia="宋体" w:cs="宋体"/>
                <w:sz w:val="20"/>
                <w:szCs w:val="20"/>
                <w:highlight w:val="none"/>
                <w:lang w:val="en-US" w:eastAsia="zh-CN"/>
              </w:rPr>
              <w:t>或</w:t>
            </w:r>
            <w:r>
              <w:rPr>
                <w:rFonts w:hint="eastAsia" w:ascii="宋体" w:hAnsi="宋体" w:eastAsia="宋体" w:cs="宋体"/>
                <w:sz w:val="20"/>
                <w:szCs w:val="20"/>
                <w:highlight w:val="none"/>
                <w:lang w:eastAsia="zh-CN"/>
              </w:rPr>
              <w:t>有效的环境管理体系认证证书</w:t>
            </w:r>
            <w:r>
              <w:rPr>
                <w:rFonts w:hint="eastAsia" w:ascii="宋体" w:hAnsi="宋体" w:eastAsia="宋体" w:cs="宋体"/>
                <w:sz w:val="20"/>
                <w:szCs w:val="20"/>
                <w:highlight w:val="none"/>
                <w:lang w:val="en-US" w:eastAsia="zh-CN"/>
              </w:rPr>
              <w:t>或</w:t>
            </w:r>
            <w:r>
              <w:rPr>
                <w:rFonts w:hint="eastAsia" w:ascii="宋体" w:hAnsi="宋体" w:eastAsia="宋体" w:cs="宋体"/>
                <w:sz w:val="20"/>
                <w:szCs w:val="20"/>
                <w:highlight w:val="none"/>
                <w:lang w:eastAsia="zh-CN"/>
              </w:rPr>
              <w:t>有效的职业健康安全管理体系认证证书，得</w:t>
            </w:r>
            <w:r>
              <w:rPr>
                <w:rFonts w:hint="eastAsia" w:ascii="宋体" w:hAnsi="宋体" w:eastAsia="宋体" w:cs="宋体"/>
                <w:sz w:val="20"/>
                <w:szCs w:val="20"/>
                <w:highlight w:val="none"/>
                <w:lang w:val="en-US" w:eastAsia="zh-CN"/>
              </w:rPr>
              <w:t>1</w:t>
            </w:r>
            <w:r>
              <w:rPr>
                <w:rFonts w:hint="eastAsia" w:ascii="宋体" w:hAnsi="宋体" w:eastAsia="宋体" w:cs="宋体"/>
                <w:sz w:val="20"/>
                <w:szCs w:val="20"/>
                <w:highlight w:val="none"/>
                <w:lang w:eastAsia="zh-CN"/>
              </w:rPr>
              <w:t>分；</w:t>
            </w:r>
          </w:p>
          <w:p w14:paraId="5D68A42E">
            <w:pPr>
              <w:spacing w:line="288" w:lineRule="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eastAsia="zh-CN"/>
              </w:rPr>
              <w:t>投标人须提供上述有效期内证书复印件并加盖投标人公章，否则不得分。</w:t>
            </w:r>
          </w:p>
        </w:tc>
      </w:tr>
      <w:tr w14:paraId="10C1A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Pr>
          <w:p w14:paraId="18FEA80E">
            <w:pPr>
              <w:rPr>
                <w:highlight w:val="none"/>
                <w:lang w:eastAsia="zh-CN"/>
              </w:rPr>
            </w:pPr>
          </w:p>
        </w:tc>
        <w:tc>
          <w:tcPr>
            <w:tcW w:w="1123" w:type="dxa"/>
            <w:vMerge w:val="continue"/>
          </w:tcPr>
          <w:p w14:paraId="36445491">
            <w:pPr>
              <w:rPr>
                <w:highlight w:val="none"/>
                <w:lang w:eastAsia="zh-CN"/>
              </w:rPr>
            </w:pPr>
          </w:p>
        </w:tc>
        <w:tc>
          <w:tcPr>
            <w:tcW w:w="1860" w:type="dxa"/>
            <w:shd w:val="clear" w:color="auto" w:fill="auto"/>
            <w:vAlign w:val="center"/>
          </w:tcPr>
          <w:p w14:paraId="337933CA">
            <w:pPr>
              <w:pStyle w:val="23"/>
              <w:spacing w:before="174" w:line="226" w:lineRule="auto"/>
              <w:jc w:val="center"/>
              <w:rPr>
                <w:rFonts w:hint="eastAsia" w:ascii="宋体" w:hAnsi="宋体" w:eastAsia="宋体" w:cs="宋体"/>
                <w:spacing w:val="8"/>
                <w:highlight w:val="none"/>
                <w:lang w:val="en-US" w:eastAsia="zh-CN"/>
              </w:rPr>
            </w:pPr>
            <w:r>
              <w:rPr>
                <w:rFonts w:hint="eastAsia" w:ascii="宋体" w:hAnsi="宋体" w:eastAsia="宋体" w:cs="宋体"/>
                <w:spacing w:val="8"/>
                <w:highlight w:val="none"/>
                <w:lang w:val="en-US" w:eastAsia="zh-CN"/>
              </w:rPr>
              <w:t>质保期</w:t>
            </w:r>
          </w:p>
          <w:p w14:paraId="5C6513F6">
            <w:pPr>
              <w:pStyle w:val="23"/>
              <w:spacing w:before="174" w:line="226" w:lineRule="auto"/>
              <w:jc w:val="center"/>
              <w:rPr>
                <w:rFonts w:hint="eastAsia" w:ascii="宋体" w:hAnsi="宋体" w:eastAsia="宋体" w:cs="宋体"/>
                <w:spacing w:val="8"/>
                <w:highlight w:val="none"/>
                <w:lang w:val="en-US" w:eastAsia="zh-CN"/>
              </w:rPr>
            </w:pPr>
            <w:r>
              <w:rPr>
                <w:rFonts w:hint="eastAsia" w:ascii="宋体" w:hAnsi="宋体" w:eastAsia="宋体" w:cs="宋体"/>
                <w:spacing w:val="8"/>
                <w:highlight w:val="none"/>
                <w:lang w:eastAsia="zh-CN"/>
              </w:rPr>
              <w:t>（</w:t>
            </w:r>
            <w:r>
              <w:rPr>
                <w:rFonts w:hint="eastAsia" w:ascii="宋体" w:hAnsi="宋体" w:eastAsia="宋体" w:cs="宋体"/>
                <w:spacing w:val="8"/>
                <w:highlight w:val="none"/>
                <w:lang w:val="en-US" w:eastAsia="zh-CN"/>
              </w:rPr>
              <w:t>2分</w:t>
            </w:r>
            <w:r>
              <w:rPr>
                <w:rFonts w:hint="eastAsia" w:ascii="宋体" w:hAnsi="宋体" w:eastAsia="宋体" w:cs="宋体"/>
                <w:spacing w:val="8"/>
                <w:highlight w:val="none"/>
                <w:lang w:eastAsia="zh-CN"/>
              </w:rPr>
              <w:t>）</w:t>
            </w:r>
          </w:p>
        </w:tc>
        <w:tc>
          <w:tcPr>
            <w:tcW w:w="4757" w:type="dxa"/>
            <w:shd w:val="clear" w:color="auto" w:fill="auto"/>
            <w:vAlign w:val="top"/>
          </w:tcPr>
          <w:p w14:paraId="347B0F4A">
            <w:pPr>
              <w:spacing w:line="288" w:lineRule="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eastAsia="zh-CN"/>
              </w:rPr>
              <w:t>投标人在招标文件</w:t>
            </w:r>
            <w:r>
              <w:rPr>
                <w:rFonts w:hint="eastAsia" w:ascii="宋体" w:hAnsi="宋体" w:eastAsia="宋体" w:cs="宋体"/>
                <w:sz w:val="20"/>
                <w:szCs w:val="20"/>
                <w:highlight w:val="none"/>
                <w:lang w:val="en-US" w:eastAsia="zh-CN"/>
              </w:rPr>
              <w:t>产品质保期</w:t>
            </w:r>
            <w:r>
              <w:rPr>
                <w:rFonts w:hint="eastAsia" w:ascii="宋体" w:hAnsi="宋体" w:eastAsia="宋体" w:cs="宋体"/>
                <w:sz w:val="20"/>
                <w:szCs w:val="20"/>
                <w:highlight w:val="none"/>
                <w:lang w:eastAsia="zh-CN"/>
              </w:rPr>
              <w:t>要求</w:t>
            </w:r>
            <w:r>
              <w:rPr>
                <w:rFonts w:hint="eastAsia" w:ascii="宋体" w:hAnsi="宋体" w:eastAsia="宋体" w:cs="宋体"/>
                <w:sz w:val="20"/>
                <w:szCs w:val="20"/>
                <w:highlight w:val="none"/>
                <w:lang w:val="en-US" w:eastAsia="zh-CN"/>
              </w:rPr>
              <w:t>的</w:t>
            </w:r>
            <w:r>
              <w:rPr>
                <w:rFonts w:hint="eastAsia" w:ascii="宋体" w:hAnsi="宋体" w:eastAsia="宋体" w:cs="宋体"/>
                <w:sz w:val="20"/>
                <w:szCs w:val="20"/>
                <w:highlight w:val="none"/>
                <w:lang w:eastAsia="zh-CN"/>
              </w:rPr>
              <w:t>基础上承诺每增加一年免费质保期得</w:t>
            </w:r>
            <w:r>
              <w:rPr>
                <w:rFonts w:hint="eastAsia" w:ascii="宋体" w:hAnsi="宋体" w:eastAsia="宋体" w:cs="宋体"/>
                <w:sz w:val="20"/>
                <w:szCs w:val="20"/>
                <w:highlight w:val="none"/>
                <w:lang w:val="en-US" w:eastAsia="zh-CN"/>
              </w:rPr>
              <w:t>1</w:t>
            </w:r>
            <w:r>
              <w:rPr>
                <w:rFonts w:hint="eastAsia" w:ascii="宋体" w:hAnsi="宋体" w:eastAsia="宋体" w:cs="宋体"/>
                <w:sz w:val="20"/>
                <w:szCs w:val="20"/>
                <w:highlight w:val="none"/>
                <w:lang w:eastAsia="zh-CN"/>
              </w:rPr>
              <w:t>分，最高得</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lang w:eastAsia="zh-CN"/>
              </w:rPr>
              <w:t>分。（以商务响应表中的质保期为准）。</w:t>
            </w:r>
          </w:p>
        </w:tc>
      </w:tr>
      <w:tr w14:paraId="3C99E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04" w:type="dxa"/>
            <w:vMerge w:val="restart"/>
            <w:vAlign w:val="center"/>
          </w:tcPr>
          <w:p w14:paraId="3045DF76">
            <w:pPr>
              <w:spacing w:before="57" w:line="201" w:lineRule="auto"/>
              <w:jc w:val="center"/>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2.2.</w:t>
            </w:r>
            <w:r>
              <w:rPr>
                <w:rFonts w:hint="eastAsia" w:ascii="Times New Roman" w:hAnsi="Times New Roman" w:eastAsia="宋体" w:cs="Times New Roman"/>
                <w:spacing w:val="3"/>
                <w:sz w:val="20"/>
                <w:szCs w:val="20"/>
                <w:highlight w:val="none"/>
                <w:lang w:eastAsia="zh-CN"/>
              </w:rPr>
              <w:t>3</w:t>
            </w:r>
            <w:r>
              <w:rPr>
                <w:rFonts w:ascii="Times New Roman" w:hAnsi="Times New Roman" w:eastAsia="Times New Roman" w:cs="Times New Roman"/>
                <w:spacing w:val="3"/>
                <w:sz w:val="20"/>
                <w:szCs w:val="20"/>
                <w:highlight w:val="none"/>
              </w:rPr>
              <w:t>(2)</w:t>
            </w:r>
          </w:p>
        </w:tc>
        <w:tc>
          <w:tcPr>
            <w:tcW w:w="1123" w:type="dxa"/>
            <w:vMerge w:val="restart"/>
            <w:vAlign w:val="center"/>
          </w:tcPr>
          <w:p w14:paraId="5F4A3421">
            <w:pPr>
              <w:jc w:val="center"/>
              <w:rPr>
                <w:highlight w:val="none"/>
                <w:lang w:eastAsia="zh-CN"/>
              </w:rPr>
            </w:pPr>
            <w:r>
              <w:rPr>
                <w:rFonts w:hint="eastAsia" w:ascii="宋体" w:hAnsi="宋体" w:eastAsia="宋体" w:cs="宋体"/>
                <w:sz w:val="20"/>
                <w:szCs w:val="20"/>
                <w:highlight w:val="none"/>
                <w:lang w:val="en-US" w:eastAsia="zh-CN"/>
              </w:rPr>
              <w:t>技术评审</w:t>
            </w:r>
            <w:r>
              <w:rPr>
                <w:rFonts w:hint="eastAsia" w:ascii="宋体" w:hAnsi="宋体" w:eastAsia="宋体" w:cs="宋体"/>
                <w:sz w:val="20"/>
                <w:szCs w:val="20"/>
                <w:highlight w:val="none"/>
                <w:lang w:eastAsia="zh-CN"/>
              </w:rPr>
              <w:t>标准</w:t>
            </w:r>
          </w:p>
        </w:tc>
        <w:tc>
          <w:tcPr>
            <w:tcW w:w="1860" w:type="dxa"/>
            <w:shd w:val="clear" w:color="auto" w:fill="auto"/>
            <w:vAlign w:val="center"/>
          </w:tcPr>
          <w:p w14:paraId="3A5D8BA0">
            <w:pPr>
              <w:pStyle w:val="23"/>
              <w:spacing w:before="174" w:line="226" w:lineRule="auto"/>
              <w:jc w:val="center"/>
              <w:rPr>
                <w:rFonts w:ascii="宋体" w:hAnsi="宋体" w:eastAsia="宋体" w:cs="宋体"/>
                <w:spacing w:val="8"/>
                <w:highlight w:val="none"/>
                <w:lang w:val="en-US" w:eastAsia="zh-CN"/>
              </w:rPr>
            </w:pPr>
            <w:r>
              <w:rPr>
                <w:rFonts w:hint="eastAsia" w:cs="宋体"/>
                <w:spacing w:val="8"/>
                <w:highlight w:val="none"/>
                <w:lang w:val="en-US" w:eastAsia="zh-CN"/>
              </w:rPr>
              <w:t>方案深化设计</w:t>
            </w:r>
            <w:r>
              <w:rPr>
                <w:rFonts w:hint="eastAsia" w:cs="宋体"/>
                <w:spacing w:val="8"/>
                <w:highlight w:val="none"/>
                <w:lang w:eastAsia="zh-CN"/>
              </w:rPr>
              <w:t>（</w:t>
            </w:r>
            <w:r>
              <w:rPr>
                <w:rFonts w:hint="eastAsia" w:cs="宋体"/>
                <w:spacing w:val="8"/>
                <w:highlight w:val="none"/>
                <w:lang w:val="en-US" w:eastAsia="zh-CN"/>
              </w:rPr>
              <w:t>23分</w:t>
            </w:r>
            <w:r>
              <w:rPr>
                <w:rFonts w:hint="eastAsia" w:cs="宋体"/>
                <w:spacing w:val="8"/>
                <w:highlight w:val="none"/>
                <w:lang w:eastAsia="zh-CN"/>
              </w:rPr>
              <w:t>）</w:t>
            </w:r>
          </w:p>
        </w:tc>
        <w:tc>
          <w:tcPr>
            <w:tcW w:w="4757" w:type="dxa"/>
            <w:vAlign w:val="top"/>
          </w:tcPr>
          <w:p w14:paraId="53D318F3">
            <w:pPr>
              <w:numPr>
                <w:ilvl w:val="0"/>
                <w:numId w:val="0"/>
              </w:numPr>
              <w:spacing w:line="288" w:lineRule="auto"/>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方案深化设计包括但不限于以下内容：</w:t>
            </w:r>
          </w:p>
          <w:p w14:paraId="537C7A8F">
            <w:pPr>
              <w:numPr>
                <w:ilvl w:val="0"/>
                <w:numId w:val="8"/>
              </w:numPr>
              <w:spacing w:line="288" w:lineRule="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项目总体功能设计1分</w:t>
            </w:r>
          </w:p>
          <w:p w14:paraId="6FA2F747">
            <w:pPr>
              <w:numPr>
                <w:ilvl w:val="0"/>
                <w:numId w:val="8"/>
              </w:numPr>
              <w:spacing w:line="288" w:lineRule="auto"/>
              <w:rPr>
                <w:rFonts w:hint="eastAsia" w:ascii="宋体" w:hAnsi="宋体" w:eastAsia="宋体" w:cs="宋体"/>
                <w:sz w:val="20"/>
                <w:szCs w:val="20"/>
                <w:highlight w:val="none"/>
                <w:lang w:eastAsia="zh-CN"/>
              </w:rPr>
            </w:pPr>
            <w:r>
              <w:rPr>
                <w:rFonts w:hint="eastAsia" w:ascii="宋体" w:hAnsi="宋体" w:eastAsia="宋体" w:cs="宋体"/>
                <w:color w:val="000000"/>
                <w:szCs w:val="21"/>
                <w:highlight w:val="none"/>
                <w:lang w:val="en-US" w:eastAsia="zh-CN"/>
              </w:rPr>
              <w:t>脉冲电子围栏设计3分</w:t>
            </w:r>
          </w:p>
          <w:p w14:paraId="0D26D736">
            <w:pPr>
              <w:numPr>
                <w:ilvl w:val="0"/>
                <w:numId w:val="8"/>
              </w:numPr>
              <w:spacing w:line="288" w:lineRule="auto"/>
              <w:rPr>
                <w:rFonts w:hint="eastAsia" w:ascii="宋体" w:hAnsi="宋体" w:eastAsia="宋体" w:cs="宋体"/>
                <w:sz w:val="20"/>
                <w:szCs w:val="20"/>
                <w:highlight w:val="none"/>
                <w:lang w:eastAsia="zh-CN"/>
              </w:rPr>
            </w:pPr>
            <w:r>
              <w:rPr>
                <w:rFonts w:hint="eastAsia" w:ascii="宋体" w:hAnsi="宋体" w:eastAsia="宋体" w:cs="宋体"/>
                <w:color w:val="000000"/>
                <w:szCs w:val="21"/>
                <w:highlight w:val="none"/>
                <w:lang w:val="en-US" w:eastAsia="zh-CN"/>
              </w:rPr>
              <w:t>脉冲电子围栏实施方案3分</w:t>
            </w:r>
          </w:p>
          <w:p w14:paraId="5C711F25">
            <w:pPr>
              <w:numPr>
                <w:ilvl w:val="0"/>
                <w:numId w:val="8"/>
              </w:numPr>
              <w:spacing w:line="288" w:lineRule="auto"/>
              <w:rPr>
                <w:rFonts w:hint="eastAsia" w:ascii="宋体" w:hAnsi="宋体" w:eastAsia="宋体" w:cs="宋体"/>
                <w:sz w:val="20"/>
                <w:szCs w:val="20"/>
                <w:highlight w:val="none"/>
                <w:lang w:eastAsia="zh-CN"/>
              </w:rPr>
            </w:pPr>
            <w:r>
              <w:rPr>
                <w:rFonts w:hint="eastAsia" w:ascii="宋体" w:hAnsi="宋体" w:eastAsia="宋体" w:cs="宋体"/>
                <w:color w:val="000000"/>
                <w:szCs w:val="21"/>
                <w:highlight w:val="none"/>
                <w:lang w:val="en-US" w:eastAsia="zh-CN"/>
              </w:rPr>
              <w:t>智慧安防管理平台功能设计4分</w:t>
            </w:r>
          </w:p>
          <w:p w14:paraId="34528D6D">
            <w:pPr>
              <w:numPr>
                <w:ilvl w:val="0"/>
                <w:numId w:val="8"/>
              </w:numPr>
              <w:spacing w:line="288" w:lineRule="auto"/>
              <w:rPr>
                <w:rFonts w:hint="eastAsia" w:ascii="宋体" w:hAnsi="宋体" w:eastAsia="宋体" w:cs="宋体"/>
                <w:sz w:val="20"/>
                <w:szCs w:val="20"/>
                <w:highlight w:val="none"/>
                <w:lang w:eastAsia="zh-CN"/>
              </w:rPr>
            </w:pPr>
            <w:r>
              <w:rPr>
                <w:rFonts w:hint="eastAsia" w:ascii="宋体" w:hAnsi="宋体" w:eastAsia="宋体" w:cs="宋体"/>
                <w:color w:val="000000"/>
                <w:szCs w:val="21"/>
                <w:highlight w:val="none"/>
                <w:lang w:val="en-US" w:eastAsia="zh-CN"/>
              </w:rPr>
              <w:t>按照两个水厂围墙现状在平面图标记</w:t>
            </w:r>
            <w:r>
              <w:rPr>
                <w:rFonts w:hint="eastAsia" w:ascii="宋体" w:hAnsi="宋体" w:eastAsia="宋体" w:cs="宋体"/>
                <w:sz w:val="20"/>
                <w:szCs w:val="20"/>
                <w:highlight w:val="none"/>
                <w:lang w:eastAsia="zh-CN"/>
              </w:rPr>
              <w:t>围栏布防点位、</w:t>
            </w:r>
            <w:r>
              <w:rPr>
                <w:rFonts w:hint="eastAsia" w:ascii="宋体" w:hAnsi="宋体" w:eastAsia="宋体" w:cs="宋体"/>
                <w:sz w:val="20"/>
                <w:szCs w:val="20"/>
                <w:highlight w:val="none"/>
                <w:lang w:val="en-US" w:eastAsia="zh-CN"/>
              </w:rPr>
              <w:t>摄像头点位、</w:t>
            </w:r>
            <w:r>
              <w:rPr>
                <w:rFonts w:hint="eastAsia" w:ascii="宋体" w:hAnsi="宋体" w:eastAsia="宋体" w:cs="宋体"/>
                <w:sz w:val="20"/>
                <w:szCs w:val="20"/>
                <w:highlight w:val="none"/>
                <w:lang w:eastAsia="zh-CN"/>
              </w:rPr>
              <w:t>立柱排布、地埋布线</w:t>
            </w:r>
            <w:r>
              <w:rPr>
                <w:rFonts w:hint="eastAsia" w:ascii="宋体" w:hAnsi="宋体" w:eastAsia="宋体" w:cs="宋体"/>
                <w:sz w:val="20"/>
                <w:szCs w:val="20"/>
                <w:highlight w:val="none"/>
                <w:lang w:val="en-US" w:eastAsia="zh-CN"/>
              </w:rPr>
              <w:t>等；3分</w:t>
            </w:r>
          </w:p>
          <w:p w14:paraId="56AEFCB3">
            <w:pPr>
              <w:numPr>
                <w:ilvl w:val="0"/>
                <w:numId w:val="8"/>
              </w:num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质量管控、安全文明施工、高空/临边防护、工期进度计划：</w:t>
            </w:r>
            <w:r>
              <w:rPr>
                <w:rFonts w:hint="eastAsia" w:ascii="宋体" w:hAnsi="宋体" w:eastAsia="宋体" w:cs="宋体"/>
                <w:sz w:val="20"/>
                <w:szCs w:val="20"/>
                <w:highlight w:val="none"/>
                <w:lang w:val="en-US" w:eastAsia="zh-CN"/>
              </w:rPr>
              <w:t>3</w:t>
            </w:r>
            <w:r>
              <w:rPr>
                <w:rFonts w:hint="eastAsia" w:ascii="宋体" w:hAnsi="宋体" w:eastAsia="宋体" w:cs="宋体"/>
                <w:sz w:val="20"/>
                <w:szCs w:val="20"/>
                <w:highlight w:val="none"/>
                <w:lang w:eastAsia="zh-CN"/>
              </w:rPr>
              <w:t>分；</w:t>
            </w:r>
          </w:p>
          <w:p w14:paraId="25600C02">
            <w:pPr>
              <w:numPr>
                <w:ilvl w:val="0"/>
                <w:numId w:val="8"/>
              </w:num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防雷接地、防雨防潮、耐寒适配方案：</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lang w:eastAsia="zh-CN"/>
              </w:rPr>
              <w:t>分。</w:t>
            </w:r>
          </w:p>
          <w:p w14:paraId="144FB34E">
            <w:pPr>
              <w:numPr>
                <w:ilvl w:val="0"/>
                <w:numId w:val="8"/>
              </w:numPr>
              <w:spacing w:line="288" w:lineRule="auto"/>
              <w:rPr>
                <w:rFonts w:hint="eastAsia" w:ascii="宋体" w:hAnsi="宋体" w:eastAsia="宋体" w:cs="宋体"/>
                <w:sz w:val="20"/>
                <w:szCs w:val="20"/>
                <w:highlight w:val="none"/>
                <w:lang w:eastAsia="zh-CN"/>
              </w:rPr>
            </w:pPr>
            <w:r>
              <w:rPr>
                <w:rFonts w:hint="eastAsia" w:ascii="宋体" w:hAnsi="宋体" w:eastAsia="宋体" w:cs="宋体"/>
                <w:color w:val="000000"/>
                <w:szCs w:val="21"/>
                <w:highlight w:val="none"/>
              </w:rPr>
              <w:t>设备原厂检测报告、3C认证、防雷认证（每项+1，上限4分）。</w:t>
            </w:r>
          </w:p>
        </w:tc>
      </w:tr>
      <w:tr w14:paraId="0B9B5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04" w:type="dxa"/>
            <w:vMerge w:val="continue"/>
          </w:tcPr>
          <w:p w14:paraId="79962F2F">
            <w:pPr>
              <w:rPr>
                <w:highlight w:val="none"/>
                <w:lang w:eastAsia="zh-CN"/>
              </w:rPr>
            </w:pPr>
          </w:p>
        </w:tc>
        <w:tc>
          <w:tcPr>
            <w:tcW w:w="1123" w:type="dxa"/>
            <w:vMerge w:val="continue"/>
          </w:tcPr>
          <w:p w14:paraId="49C89256">
            <w:pPr>
              <w:rPr>
                <w:highlight w:val="none"/>
                <w:lang w:eastAsia="zh-CN"/>
              </w:rPr>
            </w:pPr>
          </w:p>
        </w:tc>
        <w:tc>
          <w:tcPr>
            <w:tcW w:w="1860" w:type="dxa"/>
            <w:shd w:val="clear" w:color="auto" w:fill="auto"/>
            <w:vAlign w:val="center"/>
          </w:tcPr>
          <w:p w14:paraId="1314F661">
            <w:pPr>
              <w:pStyle w:val="23"/>
              <w:spacing w:before="174" w:line="226" w:lineRule="auto"/>
              <w:jc w:val="center"/>
              <w:rPr>
                <w:rFonts w:ascii="宋体" w:hAnsi="宋体" w:eastAsia="宋体" w:cs="宋体"/>
                <w:spacing w:val="8"/>
                <w:highlight w:val="none"/>
                <w:lang w:eastAsia="zh-CN"/>
              </w:rPr>
            </w:pPr>
            <w:r>
              <w:rPr>
                <w:rFonts w:ascii="宋体" w:hAnsi="宋体" w:eastAsia="宋体" w:cs="宋体"/>
                <w:spacing w:val="8"/>
                <w:highlight w:val="none"/>
                <w:lang w:eastAsia="zh-CN"/>
              </w:rPr>
              <w:t>质量保证措施</w:t>
            </w:r>
          </w:p>
          <w:p w14:paraId="242211E8">
            <w:pPr>
              <w:pStyle w:val="23"/>
              <w:spacing w:before="174" w:line="226" w:lineRule="auto"/>
              <w:jc w:val="center"/>
              <w:rPr>
                <w:rFonts w:ascii="宋体" w:hAnsi="宋体" w:eastAsia="宋体" w:cs="宋体"/>
                <w:spacing w:val="8"/>
                <w:highlight w:val="none"/>
                <w:lang w:val="en-US" w:eastAsia="zh-CN"/>
              </w:rPr>
            </w:pPr>
            <w:r>
              <w:rPr>
                <w:rFonts w:hint="eastAsia" w:cs="宋体"/>
                <w:spacing w:val="8"/>
                <w:highlight w:val="none"/>
                <w:lang w:eastAsia="zh-CN"/>
              </w:rPr>
              <w:t>（</w:t>
            </w:r>
            <w:r>
              <w:rPr>
                <w:rFonts w:hint="eastAsia" w:cs="宋体"/>
                <w:spacing w:val="8"/>
                <w:highlight w:val="none"/>
                <w:lang w:val="en-US" w:eastAsia="zh-CN"/>
              </w:rPr>
              <w:t>5分</w:t>
            </w:r>
            <w:r>
              <w:rPr>
                <w:rFonts w:hint="eastAsia" w:cs="宋体"/>
                <w:spacing w:val="8"/>
                <w:highlight w:val="none"/>
                <w:lang w:eastAsia="zh-CN"/>
              </w:rPr>
              <w:t>）</w:t>
            </w:r>
          </w:p>
        </w:tc>
        <w:tc>
          <w:tcPr>
            <w:tcW w:w="4757" w:type="dxa"/>
            <w:vAlign w:val="top"/>
          </w:tcPr>
          <w:p w14:paraId="69074AE5">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清单设备总体质量优且质量保证措施详细可靠得</w:t>
            </w:r>
            <w:r>
              <w:rPr>
                <w:rFonts w:hint="eastAsia" w:ascii="宋体" w:hAnsi="宋体" w:eastAsia="宋体" w:cs="宋体"/>
                <w:sz w:val="20"/>
                <w:szCs w:val="20"/>
                <w:highlight w:val="none"/>
                <w:lang w:val="en-US" w:eastAsia="zh-CN"/>
              </w:rPr>
              <w:t>5</w:t>
            </w:r>
            <w:r>
              <w:rPr>
                <w:rFonts w:hint="eastAsia" w:ascii="宋体" w:hAnsi="宋体" w:eastAsia="宋体" w:cs="宋体"/>
                <w:sz w:val="20"/>
                <w:szCs w:val="20"/>
                <w:highlight w:val="none"/>
                <w:lang w:eastAsia="zh-CN"/>
              </w:rPr>
              <w:t>分；次之酌情扣分；未提供或提供的质量保证措施不完善、不可靠的不得分。</w:t>
            </w:r>
          </w:p>
        </w:tc>
      </w:tr>
      <w:tr w14:paraId="1B7FB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04" w:type="dxa"/>
            <w:vMerge w:val="continue"/>
            <w:vAlign w:val="center"/>
          </w:tcPr>
          <w:p w14:paraId="51EFAE8D">
            <w:pPr>
              <w:spacing w:before="57" w:line="201" w:lineRule="auto"/>
              <w:jc w:val="center"/>
              <w:rPr>
                <w:rFonts w:ascii="Times New Roman" w:hAnsi="Times New Roman" w:eastAsia="Times New Roman" w:cs="Times New Roman"/>
                <w:spacing w:val="3"/>
                <w:sz w:val="20"/>
                <w:szCs w:val="20"/>
                <w:highlight w:val="none"/>
                <w:lang w:eastAsia="zh-CN"/>
              </w:rPr>
            </w:pPr>
          </w:p>
        </w:tc>
        <w:tc>
          <w:tcPr>
            <w:tcW w:w="1123" w:type="dxa"/>
            <w:vMerge w:val="continue"/>
            <w:vAlign w:val="center"/>
          </w:tcPr>
          <w:p w14:paraId="20E675CF">
            <w:pPr>
              <w:spacing w:before="57" w:line="201" w:lineRule="auto"/>
              <w:jc w:val="center"/>
              <w:rPr>
                <w:rFonts w:ascii="Times New Roman" w:hAnsi="Times New Roman" w:eastAsia="Times New Roman" w:cs="Times New Roman"/>
                <w:spacing w:val="3"/>
                <w:sz w:val="20"/>
                <w:szCs w:val="20"/>
                <w:highlight w:val="none"/>
                <w:lang w:eastAsia="zh-CN"/>
              </w:rPr>
            </w:pPr>
          </w:p>
        </w:tc>
        <w:tc>
          <w:tcPr>
            <w:tcW w:w="1860" w:type="dxa"/>
            <w:tcBorders>
              <w:left w:val="single" w:color="auto" w:sz="4" w:space="0"/>
            </w:tcBorders>
            <w:shd w:val="clear" w:color="auto" w:fill="auto"/>
            <w:vAlign w:val="center"/>
          </w:tcPr>
          <w:p w14:paraId="32190160">
            <w:pPr>
              <w:pStyle w:val="23"/>
              <w:spacing w:before="174" w:line="226" w:lineRule="auto"/>
              <w:jc w:val="center"/>
              <w:rPr>
                <w:rFonts w:ascii="宋体" w:hAnsi="宋体" w:eastAsia="宋体" w:cs="宋体"/>
                <w:spacing w:val="8"/>
                <w:highlight w:val="none"/>
                <w:lang w:eastAsia="zh-CN"/>
              </w:rPr>
            </w:pPr>
            <w:r>
              <w:rPr>
                <w:rFonts w:ascii="宋体" w:hAnsi="宋体" w:eastAsia="宋体" w:cs="宋体"/>
                <w:spacing w:val="8"/>
                <w:highlight w:val="none"/>
                <w:lang w:eastAsia="zh-CN"/>
              </w:rPr>
              <w:t>技术服务措施</w:t>
            </w:r>
          </w:p>
          <w:p w14:paraId="020FE93F">
            <w:pPr>
              <w:pStyle w:val="23"/>
              <w:spacing w:before="174" w:line="226" w:lineRule="auto"/>
              <w:jc w:val="center"/>
              <w:rPr>
                <w:rFonts w:ascii="宋体" w:hAnsi="宋体" w:eastAsia="宋体" w:cs="宋体"/>
                <w:spacing w:val="8"/>
                <w:highlight w:val="none"/>
                <w:lang w:val="en-US" w:eastAsia="zh-CN"/>
              </w:rPr>
            </w:pPr>
            <w:r>
              <w:rPr>
                <w:rFonts w:hint="eastAsia" w:cs="宋体"/>
                <w:spacing w:val="8"/>
                <w:highlight w:val="none"/>
                <w:lang w:eastAsia="zh-CN"/>
              </w:rPr>
              <w:t>（</w:t>
            </w:r>
            <w:r>
              <w:rPr>
                <w:rFonts w:hint="eastAsia" w:cs="宋体"/>
                <w:spacing w:val="8"/>
                <w:highlight w:val="none"/>
                <w:lang w:val="en-US" w:eastAsia="zh-CN"/>
              </w:rPr>
              <w:t>3分</w:t>
            </w:r>
            <w:r>
              <w:rPr>
                <w:rFonts w:hint="eastAsia" w:cs="宋体"/>
                <w:spacing w:val="8"/>
                <w:highlight w:val="none"/>
                <w:lang w:eastAsia="zh-CN"/>
              </w:rPr>
              <w:t>）</w:t>
            </w:r>
          </w:p>
        </w:tc>
        <w:tc>
          <w:tcPr>
            <w:tcW w:w="4757" w:type="dxa"/>
            <w:vAlign w:val="top"/>
          </w:tcPr>
          <w:p w14:paraId="6C964E6E">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现场技术指导、培训及售后等服务措施和计划完善得</w:t>
            </w:r>
            <w:r>
              <w:rPr>
                <w:rFonts w:hint="eastAsia" w:ascii="宋体" w:hAnsi="宋体" w:eastAsia="宋体" w:cs="宋体"/>
                <w:sz w:val="20"/>
                <w:szCs w:val="20"/>
                <w:highlight w:val="none"/>
                <w:lang w:val="en-US" w:eastAsia="zh-CN"/>
              </w:rPr>
              <w:t>3</w:t>
            </w:r>
            <w:r>
              <w:rPr>
                <w:rFonts w:hint="eastAsia" w:ascii="宋体" w:hAnsi="宋体" w:eastAsia="宋体" w:cs="宋体"/>
                <w:sz w:val="20"/>
                <w:szCs w:val="20"/>
                <w:highlight w:val="none"/>
                <w:lang w:eastAsia="zh-CN"/>
              </w:rPr>
              <w:t>分；次之酌情扣分；未提供或提供的内容阐述不完善、不可靠的不得分。</w:t>
            </w:r>
          </w:p>
        </w:tc>
      </w:tr>
      <w:tr w14:paraId="5CA9D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04" w:type="dxa"/>
            <w:vMerge w:val="continue"/>
            <w:vAlign w:val="center"/>
          </w:tcPr>
          <w:p w14:paraId="78EF0815">
            <w:pPr>
              <w:spacing w:before="57" w:line="201" w:lineRule="auto"/>
              <w:jc w:val="center"/>
              <w:rPr>
                <w:rFonts w:ascii="Times New Roman" w:hAnsi="Times New Roman" w:eastAsia="Times New Roman" w:cs="Times New Roman"/>
                <w:spacing w:val="3"/>
                <w:sz w:val="20"/>
                <w:szCs w:val="20"/>
                <w:highlight w:val="none"/>
                <w:lang w:eastAsia="zh-CN"/>
              </w:rPr>
            </w:pPr>
          </w:p>
        </w:tc>
        <w:tc>
          <w:tcPr>
            <w:tcW w:w="1123" w:type="dxa"/>
            <w:vMerge w:val="continue"/>
            <w:vAlign w:val="center"/>
          </w:tcPr>
          <w:p w14:paraId="05049A9A">
            <w:pPr>
              <w:spacing w:before="57" w:line="201" w:lineRule="auto"/>
              <w:jc w:val="center"/>
              <w:rPr>
                <w:rFonts w:ascii="Times New Roman" w:hAnsi="Times New Roman" w:eastAsia="Times New Roman" w:cs="Times New Roman"/>
                <w:spacing w:val="3"/>
                <w:sz w:val="20"/>
                <w:szCs w:val="20"/>
                <w:highlight w:val="none"/>
                <w:lang w:eastAsia="zh-CN"/>
              </w:rPr>
            </w:pPr>
          </w:p>
        </w:tc>
        <w:tc>
          <w:tcPr>
            <w:tcW w:w="1860" w:type="dxa"/>
            <w:tcBorders>
              <w:left w:val="single" w:color="auto" w:sz="4" w:space="0"/>
            </w:tcBorders>
            <w:shd w:val="clear" w:color="auto" w:fill="auto"/>
            <w:vAlign w:val="center"/>
          </w:tcPr>
          <w:p w14:paraId="19CB0E42">
            <w:pPr>
              <w:pStyle w:val="23"/>
              <w:spacing w:before="174" w:line="226" w:lineRule="auto"/>
              <w:jc w:val="center"/>
              <w:rPr>
                <w:rFonts w:hint="default" w:cs="宋体"/>
                <w:spacing w:val="8"/>
                <w:highlight w:val="none"/>
                <w:lang w:val="en-US" w:eastAsia="zh-CN"/>
              </w:rPr>
            </w:pPr>
            <w:r>
              <w:rPr>
                <w:rFonts w:hint="eastAsia" w:cs="宋体"/>
                <w:spacing w:val="8"/>
                <w:highlight w:val="none"/>
                <w:lang w:val="en-US" w:eastAsia="zh-CN"/>
              </w:rPr>
              <w:t>售后服务措施</w:t>
            </w:r>
          </w:p>
          <w:p w14:paraId="4DF9D348">
            <w:pPr>
              <w:pStyle w:val="23"/>
              <w:spacing w:before="174" w:line="226" w:lineRule="auto"/>
              <w:jc w:val="center"/>
              <w:rPr>
                <w:rFonts w:hint="default" w:cs="宋体"/>
                <w:spacing w:val="8"/>
                <w:highlight w:val="none"/>
                <w:lang w:val="en-US" w:eastAsia="zh-CN"/>
              </w:rPr>
            </w:pPr>
            <w:r>
              <w:rPr>
                <w:rFonts w:hint="eastAsia" w:cs="宋体"/>
                <w:spacing w:val="8"/>
                <w:highlight w:val="none"/>
                <w:lang w:val="en-US" w:eastAsia="zh-CN"/>
              </w:rPr>
              <w:t>（3分）</w:t>
            </w:r>
          </w:p>
        </w:tc>
        <w:tc>
          <w:tcPr>
            <w:tcW w:w="4757" w:type="dxa"/>
            <w:vAlign w:val="top"/>
          </w:tcPr>
          <w:p w14:paraId="5CA5EDD0">
            <w:pPr>
              <w:spacing w:line="288" w:lineRule="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有详细的售后服务方案、技术人员配置、服务响应时间</w:t>
            </w:r>
            <w:r>
              <w:rPr>
                <w:rFonts w:hint="eastAsia" w:ascii="宋体" w:hAnsi="宋体" w:eastAsia="宋体" w:cs="宋体"/>
                <w:sz w:val="20"/>
                <w:szCs w:val="20"/>
                <w:highlight w:val="none"/>
                <w:lang w:val="en-US" w:eastAsia="zh-CN"/>
              </w:rPr>
              <w:t>迅速</w:t>
            </w:r>
            <w:r>
              <w:rPr>
                <w:rFonts w:hint="eastAsia" w:ascii="宋体" w:hAnsi="宋体" w:eastAsia="宋体" w:cs="宋体"/>
                <w:sz w:val="20"/>
                <w:szCs w:val="20"/>
                <w:highlight w:val="none"/>
                <w:lang w:eastAsia="zh-CN"/>
              </w:rPr>
              <w:t>、质量保证期内产品维护措施完善，得</w:t>
            </w:r>
            <w:r>
              <w:rPr>
                <w:rFonts w:hint="eastAsia" w:ascii="宋体" w:hAnsi="宋体" w:eastAsia="宋体" w:cs="宋体"/>
                <w:sz w:val="20"/>
                <w:szCs w:val="20"/>
                <w:highlight w:val="none"/>
                <w:lang w:val="en-US" w:eastAsia="zh-CN"/>
              </w:rPr>
              <w:t>3</w:t>
            </w:r>
            <w:r>
              <w:rPr>
                <w:rFonts w:hint="eastAsia" w:ascii="宋体" w:hAnsi="宋体" w:eastAsia="宋体" w:cs="宋体"/>
                <w:sz w:val="20"/>
                <w:szCs w:val="20"/>
                <w:highlight w:val="none"/>
                <w:lang w:eastAsia="zh-CN"/>
              </w:rPr>
              <w:t>分，次之酌情扣分；未提供或提供的供货运输方案内容不健全的不得分。</w:t>
            </w:r>
          </w:p>
        </w:tc>
      </w:tr>
    </w:tbl>
    <w:p w14:paraId="3D41518C">
      <w:pPr>
        <w:rPr>
          <w:rFonts w:ascii="Arial" w:hAnsi="Arial" w:eastAsia="Arial" w:cs="Arial"/>
          <w:sz w:val="21"/>
          <w:szCs w:val="21"/>
          <w:highlight w:val="none"/>
        </w:rPr>
        <w:sectPr>
          <w:footerReference r:id="rId7" w:type="default"/>
          <w:pgSz w:w="12240" w:h="15840"/>
          <w:pgMar w:top="1346" w:right="1253" w:bottom="1121" w:left="1795" w:header="0" w:footer="894" w:gutter="0"/>
          <w:pgNumType w:fmt="decimal"/>
          <w:cols w:space="720" w:num="1"/>
        </w:sectPr>
      </w:pPr>
    </w:p>
    <w:p w14:paraId="4E0AD47D">
      <w:pPr>
        <w:spacing w:before="141" w:line="238" w:lineRule="auto"/>
        <w:outlineLvl w:val="1"/>
        <w:rPr>
          <w:rFonts w:ascii="Arial"/>
          <w:sz w:val="21"/>
          <w:highlight w:val="none"/>
        </w:rPr>
      </w:pPr>
      <w:bookmarkStart w:id="60" w:name="_Toc31249"/>
      <w:r>
        <w:rPr>
          <w:rFonts w:ascii="Times New Roman" w:hAnsi="Times New Roman" w:eastAsia="Times New Roman" w:cs="Times New Roman"/>
          <w:b/>
          <w:bCs/>
          <w:spacing w:val="2"/>
          <w:sz w:val="31"/>
          <w:szCs w:val="31"/>
          <w:highlight w:val="none"/>
        </w:rPr>
        <w:t xml:space="preserve">1.  </w:t>
      </w:r>
      <w:r>
        <w:rPr>
          <w:rFonts w:ascii="黑体" w:hAnsi="黑体" w:eastAsia="黑体" w:cs="黑体"/>
          <w:b/>
          <w:bCs/>
          <w:spacing w:val="2"/>
          <w:sz w:val="31"/>
          <w:szCs w:val="31"/>
          <w:highlight w:val="none"/>
        </w:rPr>
        <w:t>评标方法</w:t>
      </w:r>
      <w:bookmarkEnd w:id="60"/>
    </w:p>
    <w:p w14:paraId="2F16DDEB">
      <w:pPr>
        <w:pStyle w:val="8"/>
        <w:spacing w:before="68" w:line="359" w:lineRule="auto"/>
        <w:ind w:firstLine="421"/>
        <w:rPr>
          <w:rFonts w:ascii="Times New Roman" w:hAnsi="Times New Roman" w:eastAsia="Times New Roman" w:cs="Times New Roman"/>
          <w:b/>
          <w:bCs/>
          <w:spacing w:val="4"/>
          <w:sz w:val="31"/>
          <w:szCs w:val="31"/>
          <w:highlight w:val="none"/>
        </w:rPr>
      </w:pPr>
      <w:r>
        <w:rPr>
          <w:spacing w:val="1"/>
          <w:sz w:val="21"/>
          <w:szCs w:val="21"/>
          <w:highlight w:val="none"/>
        </w:rPr>
        <w:t>本次评标采用综合评估法。</w:t>
      </w:r>
      <w:r>
        <w:rPr>
          <w:rFonts w:hint="eastAsia"/>
          <w:spacing w:val="1"/>
          <w:sz w:val="21"/>
          <w:szCs w:val="21"/>
          <w:highlight w:val="none"/>
          <w:lang w:eastAsia="zh-CN"/>
        </w:rPr>
        <w:t>评审小组</w:t>
      </w:r>
      <w:r>
        <w:rPr>
          <w:spacing w:val="1"/>
          <w:sz w:val="21"/>
          <w:szCs w:val="21"/>
          <w:highlight w:val="none"/>
        </w:rPr>
        <w:t>对满足招标</w:t>
      </w:r>
      <w:r>
        <w:rPr>
          <w:sz w:val="21"/>
          <w:szCs w:val="21"/>
          <w:highlight w:val="none"/>
        </w:rPr>
        <w:t xml:space="preserve">文件实质性要求的投标文件，按照本章 第 </w:t>
      </w:r>
      <w:r>
        <w:rPr>
          <w:rFonts w:ascii="Times New Roman" w:hAnsi="Times New Roman" w:eastAsia="Times New Roman" w:cs="Times New Roman"/>
          <w:sz w:val="21"/>
          <w:szCs w:val="21"/>
          <w:highlight w:val="none"/>
        </w:rPr>
        <w:t>2.2</w:t>
      </w:r>
      <w:r>
        <w:rPr>
          <w:rFonts w:ascii="Times New Roman" w:hAnsi="Times New Roman" w:eastAsia="Times New Roman" w:cs="Times New Roman"/>
          <w:spacing w:val="50"/>
          <w:w w:val="101"/>
          <w:sz w:val="21"/>
          <w:szCs w:val="21"/>
          <w:highlight w:val="none"/>
        </w:rPr>
        <w:t xml:space="preserve"> </w:t>
      </w:r>
      <w:r>
        <w:rPr>
          <w:sz w:val="21"/>
          <w:szCs w:val="21"/>
          <w:highlight w:val="none"/>
        </w:rPr>
        <w:t>款规定的评分标准进行打分，并按</w:t>
      </w:r>
      <w:r>
        <w:rPr>
          <w:spacing w:val="-1"/>
          <w:sz w:val="21"/>
          <w:szCs w:val="21"/>
          <w:highlight w:val="none"/>
        </w:rPr>
        <w:t>得分由高到低顺序推荐中标候选人，或根据招标人授</w:t>
      </w:r>
      <w:r>
        <w:rPr>
          <w:sz w:val="21"/>
          <w:szCs w:val="21"/>
          <w:highlight w:val="none"/>
        </w:rPr>
        <w:t xml:space="preserve"> </w:t>
      </w:r>
      <w:r>
        <w:rPr>
          <w:spacing w:val="1"/>
          <w:sz w:val="21"/>
          <w:szCs w:val="21"/>
          <w:highlight w:val="none"/>
        </w:rPr>
        <w:t>权直接确定中标人，但投标报价低于其成本的除外。综合</w:t>
      </w:r>
      <w:r>
        <w:rPr>
          <w:sz w:val="21"/>
          <w:szCs w:val="21"/>
          <w:highlight w:val="none"/>
        </w:rPr>
        <w:t xml:space="preserve">评分相等时，以投标报价低的优先； </w:t>
      </w:r>
      <w:r>
        <w:rPr>
          <w:spacing w:val="1"/>
          <w:sz w:val="21"/>
          <w:szCs w:val="21"/>
          <w:highlight w:val="none"/>
        </w:rPr>
        <w:t>投标报价也相等的，以技术得分高的优先；如果技术得分</w:t>
      </w:r>
      <w:r>
        <w:rPr>
          <w:sz w:val="21"/>
          <w:szCs w:val="21"/>
          <w:highlight w:val="none"/>
        </w:rPr>
        <w:t xml:space="preserve">也相等，按照评标办法前附表的规定 </w:t>
      </w:r>
      <w:r>
        <w:rPr>
          <w:spacing w:val="-1"/>
          <w:sz w:val="21"/>
          <w:szCs w:val="21"/>
          <w:highlight w:val="none"/>
        </w:rPr>
        <w:t>确定中标候选人顺序。</w:t>
      </w:r>
      <w:bookmarkStart w:id="61" w:name="_Toc17461"/>
    </w:p>
    <w:p w14:paraId="358EA683">
      <w:pPr>
        <w:spacing w:before="278" w:line="239" w:lineRule="auto"/>
        <w:outlineLvl w:val="1"/>
        <w:rPr>
          <w:rFonts w:ascii="Times New Roman" w:hAnsi="Times New Roman" w:eastAsia="Times New Roman" w:cs="Times New Roman"/>
          <w:spacing w:val="-1"/>
          <w:sz w:val="28"/>
          <w:szCs w:val="28"/>
          <w:highlight w:val="none"/>
        </w:rPr>
      </w:pPr>
      <w:r>
        <w:rPr>
          <w:rFonts w:ascii="Times New Roman" w:hAnsi="Times New Roman" w:eastAsia="Times New Roman" w:cs="Times New Roman"/>
          <w:b/>
          <w:bCs/>
          <w:spacing w:val="4"/>
          <w:sz w:val="31"/>
          <w:szCs w:val="31"/>
          <w:highlight w:val="none"/>
        </w:rPr>
        <w:t xml:space="preserve">2.  </w:t>
      </w:r>
      <w:r>
        <w:rPr>
          <w:rFonts w:ascii="黑体" w:hAnsi="黑体" w:eastAsia="黑体" w:cs="黑体"/>
          <w:b/>
          <w:bCs/>
          <w:spacing w:val="4"/>
          <w:sz w:val="31"/>
          <w:szCs w:val="31"/>
          <w:highlight w:val="none"/>
        </w:rPr>
        <w:t>评审标准</w:t>
      </w:r>
      <w:bookmarkEnd w:id="61"/>
      <w:bookmarkStart w:id="62" w:name="bookmark191"/>
      <w:bookmarkEnd w:id="62"/>
      <w:bookmarkStart w:id="63" w:name="_Toc31265"/>
    </w:p>
    <w:p w14:paraId="054174FA">
      <w:pPr>
        <w:spacing w:before="91" w:line="233" w:lineRule="auto"/>
        <w:outlineLvl w:val="2"/>
        <w:rPr>
          <w:rFonts w:ascii="Arial"/>
          <w:sz w:val="21"/>
          <w:highlight w:val="none"/>
        </w:rPr>
      </w:pPr>
      <w:r>
        <w:rPr>
          <w:rFonts w:ascii="Times New Roman" w:hAnsi="Times New Roman" w:eastAsia="Times New Roman" w:cs="Times New Roman"/>
          <w:spacing w:val="-1"/>
          <w:sz w:val="28"/>
          <w:szCs w:val="28"/>
          <w:highlight w:val="none"/>
        </w:rPr>
        <w:t xml:space="preserve">2.1  </w:t>
      </w:r>
      <w:r>
        <w:rPr>
          <w:rFonts w:ascii="黑体" w:hAnsi="黑体" w:eastAsia="黑体" w:cs="黑体"/>
          <w:spacing w:val="-1"/>
          <w:sz w:val="28"/>
          <w:szCs w:val="28"/>
          <w:highlight w:val="none"/>
        </w:rPr>
        <w:t>初步评审标准</w:t>
      </w:r>
      <w:bookmarkEnd w:id="63"/>
    </w:p>
    <w:p w14:paraId="61EC87D1">
      <w:pPr>
        <w:pStyle w:val="8"/>
        <w:spacing w:before="69" w:line="234" w:lineRule="auto"/>
        <w:ind w:left="416"/>
        <w:rPr>
          <w:sz w:val="21"/>
          <w:szCs w:val="21"/>
          <w:highlight w:val="none"/>
        </w:rPr>
      </w:pPr>
      <w:r>
        <w:rPr>
          <w:rFonts w:ascii="Times New Roman" w:hAnsi="Times New Roman" w:eastAsia="Times New Roman" w:cs="Times New Roman"/>
          <w:sz w:val="21"/>
          <w:szCs w:val="21"/>
          <w:highlight w:val="none"/>
        </w:rPr>
        <w:t xml:space="preserve">2.1.1  </w:t>
      </w:r>
      <w:r>
        <w:rPr>
          <w:sz w:val="21"/>
          <w:szCs w:val="21"/>
          <w:highlight w:val="none"/>
        </w:rPr>
        <w:t>形式评审标准：见评标办法前</w:t>
      </w:r>
      <w:r>
        <w:rPr>
          <w:spacing w:val="-1"/>
          <w:sz w:val="21"/>
          <w:szCs w:val="21"/>
          <w:highlight w:val="none"/>
        </w:rPr>
        <w:t>附表。</w:t>
      </w:r>
    </w:p>
    <w:p w14:paraId="5D099169">
      <w:pPr>
        <w:pStyle w:val="8"/>
        <w:spacing w:before="134" w:line="234" w:lineRule="auto"/>
        <w:ind w:left="416"/>
        <w:rPr>
          <w:sz w:val="21"/>
          <w:szCs w:val="21"/>
          <w:highlight w:val="none"/>
        </w:rPr>
      </w:pPr>
      <w:r>
        <w:rPr>
          <w:rFonts w:ascii="Times New Roman" w:hAnsi="Times New Roman" w:eastAsia="Times New Roman" w:cs="Times New Roman"/>
          <w:spacing w:val="-1"/>
          <w:sz w:val="21"/>
          <w:szCs w:val="21"/>
          <w:highlight w:val="none"/>
        </w:rPr>
        <w:t xml:space="preserve">2.1.2  </w:t>
      </w:r>
      <w:r>
        <w:rPr>
          <w:spacing w:val="-1"/>
          <w:sz w:val="21"/>
          <w:szCs w:val="21"/>
          <w:highlight w:val="none"/>
        </w:rPr>
        <w:t>资格评审标准：见评标办法前附表。</w:t>
      </w:r>
    </w:p>
    <w:p w14:paraId="020D9CD9">
      <w:pPr>
        <w:pStyle w:val="8"/>
        <w:spacing w:before="135" w:line="234" w:lineRule="auto"/>
        <w:ind w:left="416"/>
        <w:rPr>
          <w:sz w:val="21"/>
          <w:szCs w:val="21"/>
          <w:highlight w:val="none"/>
        </w:rPr>
      </w:pPr>
      <w:r>
        <w:rPr>
          <w:rFonts w:ascii="Times New Roman" w:hAnsi="Times New Roman" w:eastAsia="Times New Roman" w:cs="Times New Roman"/>
          <w:sz w:val="21"/>
          <w:szCs w:val="21"/>
          <w:highlight w:val="none"/>
        </w:rPr>
        <w:t xml:space="preserve">2.1.3  </w:t>
      </w:r>
      <w:r>
        <w:rPr>
          <w:sz w:val="21"/>
          <w:szCs w:val="21"/>
          <w:highlight w:val="none"/>
        </w:rPr>
        <w:t>响应性评审标准：见评标办法前附</w:t>
      </w:r>
      <w:r>
        <w:rPr>
          <w:spacing w:val="-1"/>
          <w:sz w:val="21"/>
          <w:szCs w:val="21"/>
          <w:highlight w:val="none"/>
        </w:rPr>
        <w:t>表。</w:t>
      </w:r>
    </w:p>
    <w:p w14:paraId="253F53AF">
      <w:pPr>
        <w:spacing w:before="294" w:line="233" w:lineRule="auto"/>
        <w:ind w:left="135"/>
        <w:outlineLvl w:val="2"/>
        <w:rPr>
          <w:rFonts w:ascii="Arial"/>
          <w:sz w:val="21"/>
          <w:highlight w:val="none"/>
        </w:rPr>
      </w:pPr>
      <w:bookmarkStart w:id="64" w:name="_Toc18882"/>
      <w:r>
        <w:rPr>
          <w:rFonts w:ascii="Times New Roman" w:hAnsi="Times New Roman" w:eastAsia="Times New Roman" w:cs="Times New Roman"/>
          <w:spacing w:val="-1"/>
          <w:sz w:val="28"/>
          <w:szCs w:val="28"/>
          <w:highlight w:val="none"/>
        </w:rPr>
        <w:t xml:space="preserve">2.2  </w:t>
      </w:r>
      <w:r>
        <w:rPr>
          <w:rFonts w:ascii="黑体" w:hAnsi="黑体" w:eastAsia="黑体" w:cs="黑体"/>
          <w:spacing w:val="-1"/>
          <w:sz w:val="28"/>
          <w:szCs w:val="28"/>
          <w:highlight w:val="none"/>
        </w:rPr>
        <w:t>分值构成与评分标准</w:t>
      </w:r>
      <w:bookmarkEnd w:id="64"/>
    </w:p>
    <w:p w14:paraId="7ED3F1F2">
      <w:pPr>
        <w:pStyle w:val="8"/>
        <w:spacing w:before="69" w:line="234" w:lineRule="auto"/>
        <w:ind w:left="416"/>
        <w:rPr>
          <w:sz w:val="21"/>
          <w:szCs w:val="21"/>
          <w:highlight w:val="none"/>
        </w:rPr>
      </w:pPr>
      <w:r>
        <w:rPr>
          <w:rFonts w:ascii="Times New Roman" w:hAnsi="Times New Roman" w:eastAsia="Times New Roman" w:cs="Times New Roman"/>
          <w:spacing w:val="-1"/>
          <w:sz w:val="21"/>
          <w:szCs w:val="21"/>
          <w:highlight w:val="none"/>
        </w:rPr>
        <w:t xml:space="preserve">2.2.1  </w:t>
      </w:r>
      <w:r>
        <w:rPr>
          <w:spacing w:val="-1"/>
          <w:sz w:val="21"/>
          <w:szCs w:val="21"/>
          <w:highlight w:val="none"/>
        </w:rPr>
        <w:t>分值构成</w:t>
      </w:r>
    </w:p>
    <w:p w14:paraId="5E22BAAE">
      <w:pPr>
        <w:spacing w:line="288" w:lineRule="auto"/>
        <w:ind w:firstLine="408" w:firstLineChars="200"/>
        <w:rPr>
          <w:rFonts w:hint="eastAsia" w:ascii="宋体" w:hAnsi="宋体" w:eastAsia="宋体" w:cs="宋体"/>
          <w:sz w:val="20"/>
          <w:szCs w:val="20"/>
          <w:highlight w:val="none"/>
          <w:lang w:eastAsia="zh-CN"/>
        </w:rPr>
      </w:pPr>
      <w:r>
        <w:rPr>
          <w:spacing w:val="-3"/>
          <w:sz w:val="21"/>
          <w:szCs w:val="21"/>
          <w:highlight w:val="none"/>
        </w:rPr>
        <w:t>（</w:t>
      </w:r>
      <w:r>
        <w:rPr>
          <w:rFonts w:ascii="Times New Roman" w:hAnsi="Times New Roman" w:eastAsia="Times New Roman" w:cs="Times New Roman"/>
          <w:spacing w:val="-3"/>
          <w:sz w:val="21"/>
          <w:szCs w:val="21"/>
          <w:highlight w:val="none"/>
        </w:rPr>
        <w:t>1</w:t>
      </w:r>
      <w:r>
        <w:rPr>
          <w:spacing w:val="-3"/>
          <w:sz w:val="21"/>
          <w:szCs w:val="21"/>
          <w:highlight w:val="none"/>
        </w:rPr>
        <w:t>）</w:t>
      </w:r>
      <w:r>
        <w:rPr>
          <w:rFonts w:hint="eastAsia"/>
          <w:spacing w:val="-3"/>
          <w:sz w:val="21"/>
          <w:szCs w:val="21"/>
          <w:highlight w:val="none"/>
          <w:lang w:val="en-US" w:eastAsia="zh-CN"/>
        </w:rPr>
        <w:t>价格评审</w:t>
      </w:r>
      <w:r>
        <w:rPr>
          <w:spacing w:val="-3"/>
          <w:sz w:val="21"/>
          <w:szCs w:val="21"/>
          <w:highlight w:val="none"/>
        </w:rPr>
        <w:t>：见评标办法前附表；</w:t>
      </w:r>
    </w:p>
    <w:p w14:paraId="4E5664DF">
      <w:pPr>
        <w:pStyle w:val="8"/>
        <w:spacing w:before="134" w:line="234" w:lineRule="auto"/>
        <w:ind w:left="427"/>
        <w:rPr>
          <w:sz w:val="21"/>
          <w:szCs w:val="21"/>
          <w:highlight w:val="none"/>
        </w:rPr>
      </w:pPr>
      <w:r>
        <w:rPr>
          <w:spacing w:val="-3"/>
          <w:sz w:val="21"/>
          <w:szCs w:val="21"/>
          <w:highlight w:val="none"/>
        </w:rPr>
        <w:t>（</w:t>
      </w:r>
      <w:r>
        <w:rPr>
          <w:rFonts w:ascii="Times New Roman" w:hAnsi="Times New Roman" w:eastAsia="Times New Roman" w:cs="Times New Roman"/>
          <w:spacing w:val="-3"/>
          <w:sz w:val="21"/>
          <w:szCs w:val="21"/>
          <w:highlight w:val="none"/>
        </w:rPr>
        <w:t>2</w:t>
      </w:r>
      <w:r>
        <w:rPr>
          <w:spacing w:val="-3"/>
          <w:sz w:val="21"/>
          <w:szCs w:val="21"/>
          <w:highlight w:val="none"/>
        </w:rPr>
        <w:t>）</w:t>
      </w:r>
      <w:r>
        <w:rPr>
          <w:rFonts w:hint="eastAsia"/>
          <w:spacing w:val="-3"/>
          <w:sz w:val="21"/>
          <w:szCs w:val="21"/>
          <w:highlight w:val="none"/>
          <w:lang w:val="en-US" w:eastAsia="zh-CN"/>
        </w:rPr>
        <w:t>商务评审</w:t>
      </w:r>
      <w:r>
        <w:rPr>
          <w:spacing w:val="-3"/>
          <w:sz w:val="21"/>
          <w:szCs w:val="21"/>
          <w:highlight w:val="none"/>
        </w:rPr>
        <w:t>：见评标办法前附表；</w:t>
      </w:r>
    </w:p>
    <w:p w14:paraId="043DFA85">
      <w:pPr>
        <w:pStyle w:val="8"/>
        <w:spacing w:before="133" w:line="233" w:lineRule="auto"/>
        <w:ind w:left="427"/>
        <w:rPr>
          <w:sz w:val="21"/>
          <w:szCs w:val="21"/>
          <w:highlight w:val="none"/>
        </w:rPr>
      </w:pPr>
      <w:r>
        <w:rPr>
          <w:spacing w:val="-3"/>
          <w:sz w:val="21"/>
          <w:szCs w:val="21"/>
          <w:highlight w:val="none"/>
        </w:rPr>
        <w:t>（</w:t>
      </w:r>
      <w:r>
        <w:rPr>
          <w:rFonts w:ascii="Times New Roman" w:hAnsi="Times New Roman" w:eastAsia="Times New Roman" w:cs="Times New Roman"/>
          <w:spacing w:val="-3"/>
          <w:sz w:val="21"/>
          <w:szCs w:val="21"/>
          <w:highlight w:val="none"/>
        </w:rPr>
        <w:t>3</w:t>
      </w:r>
      <w:r>
        <w:rPr>
          <w:spacing w:val="-3"/>
          <w:sz w:val="21"/>
          <w:szCs w:val="21"/>
          <w:highlight w:val="none"/>
        </w:rPr>
        <w:t>）</w:t>
      </w:r>
      <w:r>
        <w:rPr>
          <w:rFonts w:hint="eastAsia"/>
          <w:spacing w:val="-3"/>
          <w:sz w:val="21"/>
          <w:szCs w:val="21"/>
          <w:highlight w:val="none"/>
          <w:lang w:val="en-US" w:eastAsia="zh-CN"/>
        </w:rPr>
        <w:t>技术评审</w:t>
      </w:r>
      <w:r>
        <w:rPr>
          <w:spacing w:val="-3"/>
          <w:sz w:val="21"/>
          <w:szCs w:val="21"/>
          <w:highlight w:val="none"/>
        </w:rPr>
        <w:t>：见评标办法前附表；</w:t>
      </w:r>
    </w:p>
    <w:p w14:paraId="29C0C3CC">
      <w:pPr>
        <w:pStyle w:val="8"/>
        <w:spacing w:before="136" w:line="233" w:lineRule="auto"/>
        <w:ind w:left="416"/>
        <w:rPr>
          <w:sz w:val="21"/>
          <w:szCs w:val="21"/>
          <w:highlight w:val="none"/>
        </w:rPr>
      </w:pPr>
      <w:r>
        <w:rPr>
          <w:rFonts w:ascii="Times New Roman" w:hAnsi="Times New Roman" w:eastAsia="Times New Roman" w:cs="Times New Roman"/>
          <w:spacing w:val="-1"/>
          <w:sz w:val="21"/>
          <w:szCs w:val="21"/>
          <w:highlight w:val="none"/>
        </w:rPr>
        <w:t xml:space="preserve">2.2.2  </w:t>
      </w:r>
      <w:r>
        <w:rPr>
          <w:rFonts w:ascii="Times New Roman" w:hAnsi="Times New Roman" w:eastAsia="Times New Roman" w:cs="Times New Roman"/>
          <w:spacing w:val="-1"/>
          <w:sz w:val="21"/>
          <w:szCs w:val="21"/>
          <w:highlight w:val="none"/>
          <w:lang w:eastAsia="zh-CN"/>
        </w:rPr>
        <w:t>投标报价计算方法</w:t>
      </w:r>
    </w:p>
    <w:p w14:paraId="78044896">
      <w:pPr>
        <w:pStyle w:val="8"/>
        <w:spacing w:before="133" w:line="233" w:lineRule="auto"/>
        <w:ind w:left="427"/>
        <w:rPr>
          <w:spacing w:val="-3"/>
          <w:sz w:val="21"/>
          <w:szCs w:val="21"/>
          <w:highlight w:val="none"/>
        </w:rPr>
      </w:pPr>
      <w:r>
        <w:rPr>
          <w:spacing w:val="-3"/>
          <w:sz w:val="21"/>
          <w:szCs w:val="21"/>
          <w:highlight w:val="none"/>
          <w:lang w:eastAsia="zh-CN"/>
        </w:rPr>
        <w:t>投标报价计算方法</w:t>
      </w:r>
      <w:r>
        <w:rPr>
          <w:spacing w:val="-3"/>
          <w:sz w:val="21"/>
          <w:szCs w:val="21"/>
          <w:highlight w:val="none"/>
        </w:rPr>
        <w:t>：见评标办法前附表。</w:t>
      </w:r>
    </w:p>
    <w:p w14:paraId="02197968">
      <w:pPr>
        <w:pStyle w:val="8"/>
        <w:spacing w:before="152" w:line="233" w:lineRule="auto"/>
        <w:ind w:left="416"/>
        <w:rPr>
          <w:sz w:val="21"/>
          <w:szCs w:val="21"/>
          <w:highlight w:val="none"/>
        </w:rPr>
      </w:pPr>
      <w:r>
        <w:rPr>
          <w:rFonts w:ascii="Times New Roman" w:hAnsi="Times New Roman" w:eastAsia="Times New Roman" w:cs="Times New Roman"/>
          <w:spacing w:val="-1"/>
          <w:sz w:val="21"/>
          <w:szCs w:val="21"/>
          <w:highlight w:val="none"/>
        </w:rPr>
        <w:t xml:space="preserve">2.2.3  </w:t>
      </w:r>
      <w:r>
        <w:rPr>
          <w:spacing w:val="-1"/>
          <w:sz w:val="21"/>
          <w:szCs w:val="21"/>
          <w:highlight w:val="none"/>
        </w:rPr>
        <w:t>投标报价的偏差率计算</w:t>
      </w:r>
    </w:p>
    <w:p w14:paraId="4578B024">
      <w:pPr>
        <w:pStyle w:val="8"/>
        <w:spacing w:before="136" w:line="219" w:lineRule="auto"/>
        <w:ind w:left="423"/>
        <w:rPr>
          <w:sz w:val="21"/>
          <w:szCs w:val="21"/>
          <w:highlight w:val="none"/>
        </w:rPr>
      </w:pPr>
      <w:r>
        <w:rPr>
          <w:spacing w:val="-1"/>
          <w:sz w:val="21"/>
          <w:szCs w:val="21"/>
          <w:highlight w:val="none"/>
        </w:rPr>
        <w:t>投标报价的偏差率计算公式：</w:t>
      </w:r>
      <w:r>
        <w:rPr>
          <w:rFonts w:hint="eastAsia"/>
          <w:spacing w:val="-1"/>
          <w:sz w:val="21"/>
          <w:szCs w:val="21"/>
          <w:highlight w:val="none"/>
          <w:lang w:val="en-US" w:eastAsia="zh-CN"/>
        </w:rPr>
        <w:t>无</w:t>
      </w:r>
      <w:r>
        <w:rPr>
          <w:spacing w:val="-1"/>
          <w:sz w:val="21"/>
          <w:szCs w:val="21"/>
          <w:highlight w:val="none"/>
        </w:rPr>
        <w:t>。</w:t>
      </w:r>
    </w:p>
    <w:p w14:paraId="7E1A097A">
      <w:pPr>
        <w:pStyle w:val="8"/>
        <w:spacing w:before="149" w:line="235" w:lineRule="auto"/>
        <w:ind w:left="416"/>
        <w:rPr>
          <w:sz w:val="21"/>
          <w:szCs w:val="21"/>
          <w:highlight w:val="none"/>
        </w:rPr>
      </w:pPr>
      <w:r>
        <w:rPr>
          <w:rFonts w:ascii="Times New Roman" w:hAnsi="Times New Roman" w:eastAsia="Times New Roman" w:cs="Times New Roman"/>
          <w:spacing w:val="-1"/>
          <w:sz w:val="21"/>
          <w:szCs w:val="21"/>
          <w:highlight w:val="none"/>
        </w:rPr>
        <w:t xml:space="preserve">2.2.4  </w:t>
      </w:r>
      <w:r>
        <w:rPr>
          <w:spacing w:val="-1"/>
          <w:sz w:val="21"/>
          <w:szCs w:val="21"/>
          <w:highlight w:val="none"/>
        </w:rPr>
        <w:t>评分标准</w:t>
      </w:r>
    </w:p>
    <w:p w14:paraId="62819AF9">
      <w:pPr>
        <w:pStyle w:val="8"/>
        <w:spacing w:before="133" w:line="234" w:lineRule="auto"/>
        <w:ind w:left="427"/>
        <w:rPr>
          <w:sz w:val="21"/>
          <w:szCs w:val="21"/>
          <w:highlight w:val="none"/>
        </w:rPr>
      </w:pPr>
      <w:r>
        <w:rPr>
          <w:spacing w:val="-2"/>
          <w:sz w:val="21"/>
          <w:szCs w:val="21"/>
          <w:highlight w:val="none"/>
        </w:rPr>
        <w:t>（</w:t>
      </w:r>
      <w:r>
        <w:rPr>
          <w:rFonts w:ascii="Times New Roman" w:hAnsi="Times New Roman" w:eastAsia="Times New Roman" w:cs="Times New Roman"/>
          <w:spacing w:val="-2"/>
          <w:sz w:val="21"/>
          <w:szCs w:val="21"/>
          <w:highlight w:val="none"/>
        </w:rPr>
        <w:t>1</w:t>
      </w:r>
      <w:r>
        <w:rPr>
          <w:spacing w:val="-2"/>
          <w:sz w:val="21"/>
          <w:szCs w:val="21"/>
          <w:highlight w:val="none"/>
        </w:rPr>
        <w:t>）</w:t>
      </w:r>
      <w:r>
        <w:rPr>
          <w:rFonts w:hint="eastAsia"/>
          <w:spacing w:val="-2"/>
          <w:sz w:val="21"/>
          <w:szCs w:val="21"/>
          <w:highlight w:val="none"/>
          <w:lang w:val="en-US" w:eastAsia="zh-CN"/>
        </w:rPr>
        <w:t>价格</w:t>
      </w:r>
      <w:r>
        <w:rPr>
          <w:spacing w:val="-2"/>
          <w:sz w:val="21"/>
          <w:szCs w:val="21"/>
          <w:highlight w:val="none"/>
        </w:rPr>
        <w:t>评分标准：见评标办法前附表；</w:t>
      </w:r>
    </w:p>
    <w:p w14:paraId="147D29EB">
      <w:pPr>
        <w:pStyle w:val="8"/>
        <w:spacing w:before="135" w:line="234" w:lineRule="auto"/>
        <w:ind w:left="427"/>
        <w:rPr>
          <w:sz w:val="21"/>
          <w:szCs w:val="21"/>
          <w:highlight w:val="none"/>
        </w:rPr>
      </w:pPr>
      <w:r>
        <w:rPr>
          <w:spacing w:val="-2"/>
          <w:sz w:val="21"/>
          <w:szCs w:val="21"/>
          <w:highlight w:val="none"/>
        </w:rPr>
        <w:t>（</w:t>
      </w:r>
      <w:r>
        <w:rPr>
          <w:rFonts w:ascii="Times New Roman" w:hAnsi="Times New Roman" w:eastAsia="Times New Roman" w:cs="Times New Roman"/>
          <w:spacing w:val="-2"/>
          <w:sz w:val="21"/>
          <w:szCs w:val="21"/>
          <w:highlight w:val="none"/>
        </w:rPr>
        <w:t>2</w:t>
      </w:r>
      <w:r>
        <w:rPr>
          <w:spacing w:val="-2"/>
          <w:sz w:val="21"/>
          <w:szCs w:val="21"/>
          <w:highlight w:val="none"/>
        </w:rPr>
        <w:t>）</w:t>
      </w:r>
      <w:r>
        <w:rPr>
          <w:rFonts w:hint="eastAsia"/>
          <w:spacing w:val="-2"/>
          <w:sz w:val="21"/>
          <w:szCs w:val="21"/>
          <w:highlight w:val="none"/>
          <w:lang w:val="en-US" w:eastAsia="zh-CN"/>
        </w:rPr>
        <w:t>商务</w:t>
      </w:r>
      <w:r>
        <w:rPr>
          <w:spacing w:val="-2"/>
          <w:sz w:val="21"/>
          <w:szCs w:val="21"/>
          <w:highlight w:val="none"/>
        </w:rPr>
        <w:t>评分标准：见评标办法前附表；</w:t>
      </w:r>
    </w:p>
    <w:p w14:paraId="625A8C27">
      <w:pPr>
        <w:pStyle w:val="8"/>
        <w:spacing w:before="132" w:line="233" w:lineRule="auto"/>
        <w:ind w:left="427"/>
        <w:rPr>
          <w:sz w:val="21"/>
          <w:szCs w:val="21"/>
          <w:highlight w:val="none"/>
        </w:rPr>
      </w:pPr>
      <w:r>
        <w:rPr>
          <w:spacing w:val="-2"/>
          <w:sz w:val="21"/>
          <w:szCs w:val="21"/>
          <w:highlight w:val="none"/>
        </w:rPr>
        <w:t>（</w:t>
      </w:r>
      <w:r>
        <w:rPr>
          <w:rFonts w:ascii="Times New Roman" w:hAnsi="Times New Roman" w:eastAsia="Times New Roman" w:cs="Times New Roman"/>
          <w:spacing w:val="-2"/>
          <w:sz w:val="21"/>
          <w:szCs w:val="21"/>
          <w:highlight w:val="none"/>
        </w:rPr>
        <w:t>3</w:t>
      </w:r>
      <w:r>
        <w:rPr>
          <w:spacing w:val="-2"/>
          <w:sz w:val="21"/>
          <w:szCs w:val="21"/>
          <w:highlight w:val="none"/>
        </w:rPr>
        <w:t>）</w:t>
      </w:r>
      <w:r>
        <w:rPr>
          <w:rFonts w:hint="eastAsia"/>
          <w:spacing w:val="-2"/>
          <w:sz w:val="21"/>
          <w:szCs w:val="21"/>
          <w:highlight w:val="none"/>
          <w:lang w:val="en-US" w:eastAsia="zh-CN"/>
        </w:rPr>
        <w:t>技术</w:t>
      </w:r>
      <w:r>
        <w:rPr>
          <w:spacing w:val="-2"/>
          <w:sz w:val="21"/>
          <w:szCs w:val="21"/>
          <w:highlight w:val="none"/>
        </w:rPr>
        <w:t>评分标准：见评标办法前附表；</w:t>
      </w:r>
    </w:p>
    <w:p w14:paraId="371633FD">
      <w:pPr>
        <w:spacing w:line="234" w:lineRule="auto"/>
        <w:rPr>
          <w:sz w:val="21"/>
          <w:szCs w:val="21"/>
          <w:highlight w:val="none"/>
        </w:rPr>
        <w:sectPr>
          <w:footerReference r:id="rId8" w:type="default"/>
          <w:pgSz w:w="12240" w:h="15840"/>
          <w:pgMar w:top="1346" w:right="1793" w:bottom="1121" w:left="1807" w:header="0" w:footer="894" w:gutter="0"/>
          <w:pgNumType w:fmt="decimal"/>
          <w:cols w:space="720" w:num="1"/>
        </w:sectPr>
      </w:pPr>
    </w:p>
    <w:p w14:paraId="503906B9">
      <w:pPr>
        <w:spacing w:before="140" w:line="239" w:lineRule="auto"/>
        <w:outlineLvl w:val="1"/>
        <w:rPr>
          <w:rFonts w:ascii="Arial"/>
          <w:sz w:val="21"/>
          <w:highlight w:val="none"/>
        </w:rPr>
      </w:pPr>
      <w:bookmarkStart w:id="65" w:name="_Toc15201"/>
      <w:r>
        <w:rPr>
          <w:rFonts w:ascii="Times New Roman" w:hAnsi="Times New Roman" w:eastAsia="Times New Roman" w:cs="Times New Roman"/>
          <w:b/>
          <w:bCs/>
          <w:spacing w:val="4"/>
          <w:sz w:val="31"/>
          <w:szCs w:val="31"/>
          <w:highlight w:val="none"/>
        </w:rPr>
        <w:t xml:space="preserve">3.  </w:t>
      </w:r>
      <w:r>
        <w:rPr>
          <w:rFonts w:ascii="黑体" w:hAnsi="黑体" w:eastAsia="黑体" w:cs="黑体"/>
          <w:b/>
          <w:bCs/>
          <w:spacing w:val="4"/>
          <w:sz w:val="31"/>
          <w:szCs w:val="31"/>
          <w:highlight w:val="none"/>
        </w:rPr>
        <w:t>评标程序</w:t>
      </w:r>
      <w:bookmarkEnd w:id="65"/>
    </w:p>
    <w:p w14:paraId="7C59F44C">
      <w:pPr>
        <w:spacing w:before="91" w:line="233" w:lineRule="auto"/>
        <w:ind w:left="143"/>
        <w:outlineLvl w:val="2"/>
        <w:rPr>
          <w:rFonts w:ascii="Arial"/>
          <w:sz w:val="21"/>
          <w:highlight w:val="none"/>
        </w:rPr>
      </w:pPr>
      <w:bookmarkStart w:id="66" w:name="bookmark192"/>
      <w:bookmarkEnd w:id="66"/>
      <w:bookmarkStart w:id="67" w:name="_Toc26357"/>
      <w:r>
        <w:rPr>
          <w:rFonts w:ascii="Times New Roman" w:hAnsi="Times New Roman" w:eastAsia="Times New Roman" w:cs="Times New Roman"/>
          <w:spacing w:val="-1"/>
          <w:sz w:val="28"/>
          <w:szCs w:val="28"/>
          <w:highlight w:val="none"/>
        </w:rPr>
        <w:t xml:space="preserve">3.1  </w:t>
      </w:r>
      <w:r>
        <w:rPr>
          <w:rFonts w:ascii="黑体" w:hAnsi="黑体" w:eastAsia="黑体" w:cs="黑体"/>
          <w:spacing w:val="-1"/>
          <w:sz w:val="28"/>
          <w:szCs w:val="28"/>
          <w:highlight w:val="none"/>
        </w:rPr>
        <w:t>初步评审</w:t>
      </w:r>
      <w:bookmarkEnd w:id="67"/>
    </w:p>
    <w:p w14:paraId="3BBF7A9C">
      <w:pPr>
        <w:pStyle w:val="8"/>
        <w:spacing w:before="68" w:line="307" w:lineRule="auto"/>
        <w:ind w:left="2" w:right="18" w:firstLine="421"/>
        <w:rPr>
          <w:sz w:val="21"/>
          <w:szCs w:val="21"/>
          <w:highlight w:val="none"/>
        </w:rPr>
      </w:pPr>
      <w:r>
        <w:rPr>
          <w:rFonts w:ascii="Times New Roman" w:hAnsi="Times New Roman" w:eastAsia="Times New Roman" w:cs="Times New Roman"/>
          <w:sz w:val="21"/>
          <w:szCs w:val="21"/>
          <w:highlight w:val="none"/>
        </w:rPr>
        <w:t xml:space="preserve">3.1.1  </w:t>
      </w:r>
      <w:r>
        <w:rPr>
          <w:rFonts w:hint="eastAsia" w:eastAsia="宋体"/>
          <w:sz w:val="21"/>
          <w:szCs w:val="21"/>
          <w:highlight w:val="none"/>
          <w:lang w:eastAsia="zh-CN"/>
        </w:rPr>
        <w:t>评审小组</w:t>
      </w:r>
      <w:r>
        <w:rPr>
          <w:sz w:val="21"/>
          <w:szCs w:val="21"/>
          <w:highlight w:val="none"/>
        </w:rPr>
        <w:t>可以要求投标人提交第</w:t>
      </w:r>
      <w:r>
        <w:rPr>
          <w:rFonts w:hint="eastAsia"/>
          <w:sz w:val="21"/>
          <w:szCs w:val="21"/>
          <w:highlight w:val="none"/>
          <w:lang w:val="en-US" w:eastAsia="zh-CN"/>
        </w:rPr>
        <w:t>一</w:t>
      </w:r>
      <w:r>
        <w:rPr>
          <w:sz w:val="21"/>
          <w:szCs w:val="21"/>
          <w:highlight w:val="none"/>
        </w:rPr>
        <w:t>章</w:t>
      </w:r>
      <w:r>
        <w:rPr>
          <w:rFonts w:ascii="Times New Roman" w:hAnsi="Times New Roman" w:eastAsia="Times New Roman" w:cs="Times New Roman"/>
          <w:sz w:val="21"/>
          <w:szCs w:val="21"/>
          <w:highlight w:val="none"/>
        </w:rPr>
        <w:t>“</w:t>
      </w:r>
      <w:r>
        <w:rPr>
          <w:rFonts w:hint="eastAsia" w:eastAsia="宋体"/>
          <w:sz w:val="21"/>
          <w:szCs w:val="21"/>
          <w:highlight w:val="none"/>
          <w:lang w:val="en-US" w:eastAsia="zh-CN"/>
        </w:rPr>
        <w:t>询价函</w:t>
      </w:r>
      <w:r>
        <w:rPr>
          <w:rFonts w:ascii="Times New Roman" w:hAnsi="Times New Roman" w:eastAsia="Times New Roman" w:cs="Times New Roman"/>
          <w:sz w:val="21"/>
          <w:szCs w:val="21"/>
          <w:highlight w:val="none"/>
        </w:rPr>
        <w:t>”</w:t>
      </w:r>
      <w:r>
        <w:rPr>
          <w:sz w:val="21"/>
          <w:szCs w:val="21"/>
          <w:highlight w:val="none"/>
        </w:rPr>
        <w:t>规定的有关证明和证件的原件， 以便核验。</w:t>
      </w:r>
      <w:r>
        <w:rPr>
          <w:rFonts w:hint="eastAsia"/>
          <w:sz w:val="21"/>
          <w:szCs w:val="21"/>
          <w:highlight w:val="none"/>
          <w:lang w:eastAsia="zh-CN"/>
        </w:rPr>
        <w:t>评审小组</w:t>
      </w:r>
      <w:r>
        <w:rPr>
          <w:sz w:val="21"/>
          <w:szCs w:val="21"/>
          <w:highlight w:val="none"/>
        </w:rPr>
        <w:t xml:space="preserve">依据本章第 </w:t>
      </w:r>
      <w:r>
        <w:rPr>
          <w:rFonts w:ascii="Times New Roman" w:hAnsi="Times New Roman" w:eastAsia="Times New Roman" w:cs="Times New Roman"/>
          <w:sz w:val="21"/>
          <w:szCs w:val="21"/>
          <w:highlight w:val="none"/>
        </w:rPr>
        <w:t>2.1</w:t>
      </w:r>
      <w:r>
        <w:rPr>
          <w:rFonts w:ascii="Times New Roman" w:hAnsi="Times New Roman" w:eastAsia="Times New Roman" w:cs="Times New Roman"/>
          <w:spacing w:val="48"/>
          <w:w w:val="101"/>
          <w:sz w:val="21"/>
          <w:szCs w:val="21"/>
          <w:highlight w:val="none"/>
        </w:rPr>
        <w:t xml:space="preserve"> </w:t>
      </w:r>
      <w:r>
        <w:rPr>
          <w:sz w:val="21"/>
          <w:szCs w:val="21"/>
          <w:highlight w:val="none"/>
        </w:rPr>
        <w:t>款规定</w:t>
      </w:r>
      <w:r>
        <w:rPr>
          <w:spacing w:val="-1"/>
          <w:sz w:val="21"/>
          <w:szCs w:val="21"/>
          <w:highlight w:val="none"/>
        </w:rPr>
        <w:t>的标准对投标文件进行初步评审。有一项不符合</w:t>
      </w:r>
      <w:r>
        <w:rPr>
          <w:sz w:val="21"/>
          <w:szCs w:val="21"/>
          <w:highlight w:val="none"/>
        </w:rPr>
        <w:t xml:space="preserve"> </w:t>
      </w:r>
      <w:r>
        <w:rPr>
          <w:spacing w:val="-1"/>
          <w:sz w:val="21"/>
          <w:szCs w:val="21"/>
          <w:highlight w:val="none"/>
        </w:rPr>
        <w:t>评审标准的，</w:t>
      </w:r>
      <w:r>
        <w:rPr>
          <w:rFonts w:hint="eastAsia"/>
          <w:spacing w:val="-1"/>
          <w:sz w:val="21"/>
          <w:szCs w:val="21"/>
          <w:highlight w:val="none"/>
          <w:lang w:eastAsia="zh-CN"/>
        </w:rPr>
        <w:t>评审小组</w:t>
      </w:r>
      <w:r>
        <w:rPr>
          <w:spacing w:val="-1"/>
          <w:sz w:val="21"/>
          <w:szCs w:val="21"/>
          <w:highlight w:val="none"/>
        </w:rPr>
        <w:t>应当否决其投标。</w:t>
      </w:r>
    </w:p>
    <w:p w14:paraId="3336C4AF">
      <w:pPr>
        <w:pStyle w:val="8"/>
        <w:spacing w:before="151" w:line="234" w:lineRule="auto"/>
        <w:ind w:left="423"/>
        <w:rPr>
          <w:sz w:val="21"/>
          <w:szCs w:val="21"/>
          <w:highlight w:val="none"/>
        </w:rPr>
      </w:pPr>
      <w:r>
        <w:rPr>
          <w:rFonts w:ascii="Times New Roman" w:hAnsi="Times New Roman" w:eastAsia="Times New Roman" w:cs="Times New Roman"/>
          <w:spacing w:val="-1"/>
          <w:sz w:val="21"/>
          <w:szCs w:val="21"/>
          <w:highlight w:val="none"/>
        </w:rPr>
        <w:t xml:space="preserve">3.1.2  </w:t>
      </w:r>
      <w:r>
        <w:rPr>
          <w:spacing w:val="-1"/>
          <w:sz w:val="21"/>
          <w:szCs w:val="21"/>
          <w:highlight w:val="none"/>
        </w:rPr>
        <w:t>投标人有以下情形之一的，</w:t>
      </w:r>
      <w:r>
        <w:rPr>
          <w:rFonts w:hint="eastAsia"/>
          <w:spacing w:val="-1"/>
          <w:sz w:val="21"/>
          <w:szCs w:val="21"/>
          <w:highlight w:val="none"/>
          <w:lang w:eastAsia="zh-CN"/>
        </w:rPr>
        <w:t>评审小组</w:t>
      </w:r>
      <w:r>
        <w:rPr>
          <w:spacing w:val="-1"/>
          <w:sz w:val="21"/>
          <w:szCs w:val="21"/>
          <w:highlight w:val="none"/>
        </w:rPr>
        <w:t>应当否决其投标：</w:t>
      </w:r>
    </w:p>
    <w:p w14:paraId="70BD0C53">
      <w:pPr>
        <w:pStyle w:val="8"/>
        <w:spacing w:before="133" w:line="286" w:lineRule="auto"/>
        <w:ind w:left="3" w:right="98" w:firstLine="425"/>
        <w:rPr>
          <w:sz w:val="21"/>
          <w:szCs w:val="21"/>
          <w:highlight w:val="none"/>
        </w:rPr>
      </w:pPr>
      <w:r>
        <w:rPr>
          <w:spacing w:val="-3"/>
          <w:sz w:val="21"/>
          <w:szCs w:val="21"/>
          <w:highlight w:val="none"/>
        </w:rPr>
        <w:t>（</w:t>
      </w:r>
      <w:r>
        <w:rPr>
          <w:rFonts w:ascii="Times New Roman" w:hAnsi="Times New Roman" w:eastAsia="Times New Roman" w:cs="Times New Roman"/>
          <w:spacing w:val="-3"/>
          <w:sz w:val="21"/>
          <w:szCs w:val="21"/>
          <w:highlight w:val="none"/>
        </w:rPr>
        <w:t>1</w:t>
      </w:r>
      <w:r>
        <w:rPr>
          <w:spacing w:val="-3"/>
          <w:sz w:val="21"/>
          <w:szCs w:val="21"/>
          <w:highlight w:val="none"/>
        </w:rPr>
        <w:t>）投标文件没有对招标文件的实质性要求和条件作出响应，或者对招标文件的偏差超出</w:t>
      </w:r>
      <w:r>
        <w:rPr>
          <w:spacing w:val="9"/>
          <w:sz w:val="21"/>
          <w:szCs w:val="21"/>
          <w:highlight w:val="none"/>
        </w:rPr>
        <w:t xml:space="preserve"> </w:t>
      </w:r>
      <w:r>
        <w:rPr>
          <w:spacing w:val="-1"/>
          <w:sz w:val="21"/>
          <w:szCs w:val="21"/>
          <w:highlight w:val="none"/>
        </w:rPr>
        <w:t>招标文件规定的偏差范围或最高项数；</w:t>
      </w:r>
    </w:p>
    <w:p w14:paraId="0F26FD71">
      <w:pPr>
        <w:pStyle w:val="8"/>
        <w:spacing w:before="149" w:line="234" w:lineRule="auto"/>
        <w:ind w:left="429"/>
        <w:rPr>
          <w:sz w:val="21"/>
          <w:szCs w:val="21"/>
          <w:highlight w:val="none"/>
        </w:rPr>
      </w:pPr>
      <w:r>
        <w:rPr>
          <w:spacing w:val="-1"/>
          <w:sz w:val="21"/>
          <w:szCs w:val="21"/>
          <w:highlight w:val="none"/>
        </w:rPr>
        <w:t>（</w:t>
      </w:r>
      <w:r>
        <w:rPr>
          <w:rFonts w:ascii="Times New Roman" w:hAnsi="Times New Roman" w:eastAsia="Times New Roman" w:cs="Times New Roman"/>
          <w:spacing w:val="-1"/>
          <w:sz w:val="21"/>
          <w:szCs w:val="21"/>
          <w:highlight w:val="none"/>
        </w:rPr>
        <w:t>2</w:t>
      </w:r>
      <w:r>
        <w:rPr>
          <w:spacing w:val="-1"/>
          <w:sz w:val="21"/>
          <w:szCs w:val="21"/>
          <w:highlight w:val="none"/>
        </w:rPr>
        <w:t>）有串通投标、弄虚作假、行贿等违法行为。</w:t>
      </w:r>
    </w:p>
    <w:p w14:paraId="1D13C734">
      <w:pPr>
        <w:pStyle w:val="8"/>
        <w:spacing w:before="132" w:line="344" w:lineRule="auto"/>
        <w:ind w:left="6" w:right="72" w:firstLine="416"/>
        <w:rPr>
          <w:sz w:val="21"/>
          <w:szCs w:val="21"/>
          <w:highlight w:val="none"/>
        </w:rPr>
      </w:pPr>
      <w:r>
        <w:rPr>
          <w:rFonts w:ascii="Times New Roman" w:hAnsi="Times New Roman" w:eastAsia="Times New Roman" w:cs="Times New Roman"/>
          <w:spacing w:val="-2"/>
          <w:sz w:val="21"/>
          <w:szCs w:val="21"/>
          <w:highlight w:val="none"/>
        </w:rPr>
        <w:t xml:space="preserve">3.1.3  </w:t>
      </w:r>
      <w:r>
        <w:rPr>
          <w:spacing w:val="-2"/>
          <w:sz w:val="21"/>
          <w:szCs w:val="21"/>
          <w:highlight w:val="none"/>
        </w:rPr>
        <w:t>投标报价有算术错误及其他错误的，</w:t>
      </w:r>
      <w:r>
        <w:rPr>
          <w:rFonts w:hint="eastAsia"/>
          <w:spacing w:val="-2"/>
          <w:sz w:val="21"/>
          <w:szCs w:val="21"/>
          <w:highlight w:val="none"/>
          <w:lang w:eastAsia="zh-CN"/>
        </w:rPr>
        <w:t>评审小组</w:t>
      </w:r>
      <w:r>
        <w:rPr>
          <w:spacing w:val="-2"/>
          <w:sz w:val="21"/>
          <w:szCs w:val="21"/>
          <w:highlight w:val="none"/>
        </w:rPr>
        <w:t>按以下原则要求投标人对投标报价进</w:t>
      </w:r>
      <w:r>
        <w:rPr>
          <w:spacing w:val="9"/>
          <w:sz w:val="21"/>
          <w:szCs w:val="21"/>
          <w:highlight w:val="none"/>
        </w:rPr>
        <w:t xml:space="preserve"> </w:t>
      </w:r>
      <w:r>
        <w:rPr>
          <w:sz w:val="21"/>
          <w:szCs w:val="21"/>
          <w:highlight w:val="none"/>
        </w:rPr>
        <w:t>行修正，并要求投标人书面澄清确认。投标人拒不澄清确认的，</w:t>
      </w:r>
      <w:r>
        <w:rPr>
          <w:rFonts w:hint="eastAsia"/>
          <w:sz w:val="21"/>
          <w:szCs w:val="21"/>
          <w:highlight w:val="none"/>
          <w:lang w:eastAsia="zh-CN"/>
        </w:rPr>
        <w:t>评审小组</w:t>
      </w:r>
      <w:r>
        <w:rPr>
          <w:sz w:val="21"/>
          <w:szCs w:val="21"/>
          <w:highlight w:val="none"/>
        </w:rPr>
        <w:t>应当否</w:t>
      </w:r>
      <w:r>
        <w:rPr>
          <w:spacing w:val="-1"/>
          <w:sz w:val="21"/>
          <w:szCs w:val="21"/>
          <w:highlight w:val="none"/>
        </w:rPr>
        <w:t>决其投标：</w:t>
      </w:r>
    </w:p>
    <w:p w14:paraId="6F35C061">
      <w:pPr>
        <w:pStyle w:val="8"/>
        <w:spacing w:before="20" w:line="234" w:lineRule="auto"/>
        <w:ind w:left="429"/>
        <w:rPr>
          <w:sz w:val="21"/>
          <w:szCs w:val="21"/>
          <w:highlight w:val="none"/>
        </w:rPr>
      </w:pPr>
      <w:r>
        <w:rPr>
          <w:sz w:val="21"/>
          <w:szCs w:val="21"/>
          <w:highlight w:val="none"/>
        </w:rPr>
        <w:t>（</w:t>
      </w:r>
      <w:r>
        <w:rPr>
          <w:rFonts w:ascii="Times New Roman" w:hAnsi="Times New Roman" w:eastAsia="Times New Roman" w:cs="Times New Roman"/>
          <w:sz w:val="21"/>
          <w:szCs w:val="21"/>
          <w:highlight w:val="none"/>
        </w:rPr>
        <w:t>1</w:t>
      </w:r>
      <w:r>
        <w:rPr>
          <w:sz w:val="21"/>
          <w:szCs w:val="21"/>
          <w:highlight w:val="none"/>
        </w:rPr>
        <w:t>）投标文件中的大写金额与小写金额不一</w:t>
      </w:r>
      <w:r>
        <w:rPr>
          <w:spacing w:val="-1"/>
          <w:sz w:val="21"/>
          <w:szCs w:val="21"/>
          <w:highlight w:val="none"/>
        </w:rPr>
        <w:t>致的，以大写金额为准；</w:t>
      </w:r>
    </w:p>
    <w:p w14:paraId="3BD020CF">
      <w:pPr>
        <w:pStyle w:val="8"/>
        <w:spacing w:before="131" w:line="287" w:lineRule="auto"/>
        <w:ind w:left="7" w:right="75" w:firstLine="421"/>
        <w:rPr>
          <w:sz w:val="21"/>
          <w:szCs w:val="21"/>
          <w:highlight w:val="none"/>
        </w:rPr>
      </w:pPr>
      <w:r>
        <w:rPr>
          <w:spacing w:val="-2"/>
          <w:sz w:val="21"/>
          <w:szCs w:val="21"/>
          <w:highlight w:val="none"/>
        </w:rPr>
        <w:t>（</w:t>
      </w:r>
      <w:r>
        <w:rPr>
          <w:rFonts w:ascii="Times New Roman" w:hAnsi="Times New Roman" w:eastAsia="Times New Roman" w:cs="Times New Roman"/>
          <w:spacing w:val="-2"/>
          <w:sz w:val="21"/>
          <w:szCs w:val="21"/>
          <w:highlight w:val="none"/>
        </w:rPr>
        <w:t>2</w:t>
      </w:r>
      <w:r>
        <w:rPr>
          <w:spacing w:val="-2"/>
          <w:sz w:val="21"/>
          <w:szCs w:val="21"/>
          <w:highlight w:val="none"/>
        </w:rPr>
        <w:t>）总价金额与单价金额不一致的，以单价金额为准，但单价金额小数点</w:t>
      </w:r>
      <w:r>
        <w:rPr>
          <w:spacing w:val="-3"/>
          <w:sz w:val="21"/>
          <w:szCs w:val="21"/>
          <w:highlight w:val="none"/>
        </w:rPr>
        <w:t>有明显错误的除</w:t>
      </w:r>
      <w:r>
        <w:rPr>
          <w:sz w:val="21"/>
          <w:szCs w:val="21"/>
          <w:highlight w:val="none"/>
        </w:rPr>
        <w:t xml:space="preserve"> </w:t>
      </w:r>
      <w:r>
        <w:rPr>
          <w:spacing w:val="-6"/>
          <w:sz w:val="21"/>
          <w:szCs w:val="21"/>
          <w:highlight w:val="none"/>
        </w:rPr>
        <w:t>外；</w:t>
      </w:r>
    </w:p>
    <w:p w14:paraId="62F21927">
      <w:pPr>
        <w:pStyle w:val="8"/>
        <w:spacing w:before="149" w:line="285" w:lineRule="auto"/>
        <w:ind w:left="3" w:right="73" w:firstLine="425"/>
        <w:rPr>
          <w:sz w:val="21"/>
          <w:szCs w:val="21"/>
          <w:highlight w:val="none"/>
        </w:rPr>
      </w:pPr>
      <w:r>
        <w:rPr>
          <w:spacing w:val="-2"/>
          <w:sz w:val="21"/>
          <w:szCs w:val="21"/>
          <w:highlight w:val="none"/>
        </w:rPr>
        <w:t>（</w:t>
      </w:r>
      <w:r>
        <w:rPr>
          <w:rFonts w:ascii="Times New Roman" w:hAnsi="Times New Roman" w:eastAsia="Times New Roman" w:cs="Times New Roman"/>
          <w:spacing w:val="-2"/>
          <w:sz w:val="21"/>
          <w:szCs w:val="21"/>
          <w:highlight w:val="none"/>
        </w:rPr>
        <w:t>3</w:t>
      </w:r>
      <w:r>
        <w:rPr>
          <w:spacing w:val="-2"/>
          <w:sz w:val="21"/>
          <w:szCs w:val="21"/>
          <w:highlight w:val="none"/>
        </w:rPr>
        <w:t>）投标报价为各分项报价金额之和，投标报价与分项报价的合价不一致的，</w:t>
      </w:r>
      <w:r>
        <w:rPr>
          <w:spacing w:val="-3"/>
          <w:sz w:val="21"/>
          <w:szCs w:val="21"/>
          <w:highlight w:val="none"/>
        </w:rPr>
        <w:t>应以各分项</w:t>
      </w:r>
      <w:r>
        <w:rPr>
          <w:sz w:val="21"/>
          <w:szCs w:val="21"/>
          <w:highlight w:val="none"/>
        </w:rPr>
        <w:t xml:space="preserve"> </w:t>
      </w:r>
      <w:r>
        <w:rPr>
          <w:spacing w:val="-1"/>
          <w:sz w:val="21"/>
          <w:szCs w:val="21"/>
          <w:highlight w:val="none"/>
        </w:rPr>
        <w:t>合价累计数为准，修正投标报价；</w:t>
      </w:r>
    </w:p>
    <w:p w14:paraId="65ADB723">
      <w:pPr>
        <w:pStyle w:val="8"/>
        <w:spacing w:before="151" w:line="233" w:lineRule="auto"/>
        <w:ind w:left="429"/>
        <w:rPr>
          <w:sz w:val="21"/>
          <w:szCs w:val="21"/>
          <w:highlight w:val="none"/>
        </w:rPr>
      </w:pPr>
      <w:r>
        <w:rPr>
          <w:spacing w:val="-1"/>
          <w:sz w:val="21"/>
          <w:szCs w:val="21"/>
          <w:highlight w:val="none"/>
        </w:rPr>
        <w:t>（</w:t>
      </w:r>
      <w:r>
        <w:rPr>
          <w:rFonts w:ascii="Times New Roman" w:hAnsi="Times New Roman" w:eastAsia="Times New Roman" w:cs="Times New Roman"/>
          <w:spacing w:val="-1"/>
          <w:sz w:val="21"/>
          <w:szCs w:val="21"/>
          <w:highlight w:val="none"/>
        </w:rPr>
        <w:t>4</w:t>
      </w:r>
      <w:r>
        <w:rPr>
          <w:spacing w:val="-1"/>
          <w:sz w:val="21"/>
          <w:szCs w:val="21"/>
          <w:highlight w:val="none"/>
        </w:rPr>
        <w:t>）如果分项报价中存在缺漏项，则视为缺漏项价格已包含在其他分项报价之中。</w:t>
      </w:r>
    </w:p>
    <w:p w14:paraId="5BBBA37E">
      <w:pPr>
        <w:spacing w:before="297" w:line="233" w:lineRule="auto"/>
        <w:ind w:left="143"/>
        <w:outlineLvl w:val="2"/>
        <w:rPr>
          <w:rFonts w:ascii="Arial"/>
          <w:sz w:val="21"/>
          <w:highlight w:val="none"/>
        </w:rPr>
      </w:pPr>
      <w:bookmarkStart w:id="68" w:name="_Toc15638"/>
      <w:r>
        <w:rPr>
          <w:rFonts w:ascii="Times New Roman" w:hAnsi="Times New Roman" w:eastAsia="Times New Roman" w:cs="Times New Roman"/>
          <w:spacing w:val="-1"/>
          <w:sz w:val="28"/>
          <w:szCs w:val="28"/>
          <w:highlight w:val="none"/>
        </w:rPr>
        <w:t xml:space="preserve">3.2  </w:t>
      </w:r>
      <w:r>
        <w:rPr>
          <w:rFonts w:ascii="黑体" w:hAnsi="黑体" w:eastAsia="黑体" w:cs="黑体"/>
          <w:spacing w:val="-1"/>
          <w:sz w:val="28"/>
          <w:szCs w:val="28"/>
          <w:highlight w:val="none"/>
        </w:rPr>
        <w:t>详细评审</w:t>
      </w:r>
      <w:bookmarkEnd w:id="68"/>
    </w:p>
    <w:p w14:paraId="1E29AE08">
      <w:pPr>
        <w:pStyle w:val="8"/>
        <w:spacing w:before="69" w:line="233" w:lineRule="auto"/>
        <w:jc w:val="center"/>
        <w:rPr>
          <w:sz w:val="21"/>
          <w:szCs w:val="21"/>
          <w:highlight w:val="none"/>
        </w:rPr>
      </w:pPr>
      <w:r>
        <w:rPr>
          <w:rFonts w:hint="eastAsia" w:ascii="Times New Roman" w:hAnsi="Times New Roman" w:eastAsia="宋体" w:cs="Times New Roman"/>
          <w:spacing w:val="-3"/>
          <w:sz w:val="21"/>
          <w:szCs w:val="21"/>
          <w:highlight w:val="none"/>
          <w:lang w:val="en-US" w:eastAsia="zh-CN"/>
        </w:rPr>
        <w:t xml:space="preserve">    </w:t>
      </w:r>
      <w:r>
        <w:rPr>
          <w:rFonts w:ascii="Times New Roman" w:hAnsi="Times New Roman" w:eastAsia="Times New Roman" w:cs="Times New Roman"/>
          <w:spacing w:val="-3"/>
          <w:sz w:val="21"/>
          <w:szCs w:val="21"/>
          <w:highlight w:val="none"/>
        </w:rPr>
        <w:t xml:space="preserve">3.2.1  </w:t>
      </w:r>
      <w:r>
        <w:rPr>
          <w:rFonts w:hint="eastAsia" w:eastAsia="宋体"/>
          <w:spacing w:val="-3"/>
          <w:sz w:val="21"/>
          <w:szCs w:val="21"/>
          <w:highlight w:val="none"/>
          <w:lang w:eastAsia="zh-CN"/>
        </w:rPr>
        <w:t>评审小组</w:t>
      </w:r>
      <w:r>
        <w:rPr>
          <w:spacing w:val="-3"/>
          <w:sz w:val="21"/>
          <w:szCs w:val="21"/>
          <w:highlight w:val="none"/>
        </w:rPr>
        <w:t>按本章第</w:t>
      </w:r>
      <w:r>
        <w:rPr>
          <w:spacing w:val="-60"/>
          <w:sz w:val="21"/>
          <w:szCs w:val="21"/>
          <w:highlight w:val="none"/>
        </w:rPr>
        <w:t xml:space="preserve"> </w:t>
      </w:r>
      <w:r>
        <w:rPr>
          <w:rFonts w:ascii="Times New Roman" w:hAnsi="Times New Roman" w:eastAsia="Times New Roman" w:cs="Times New Roman"/>
          <w:spacing w:val="-3"/>
          <w:sz w:val="21"/>
          <w:szCs w:val="21"/>
          <w:highlight w:val="none"/>
        </w:rPr>
        <w:t xml:space="preserve">2.2 </w:t>
      </w:r>
      <w:r>
        <w:rPr>
          <w:spacing w:val="-3"/>
          <w:sz w:val="21"/>
          <w:szCs w:val="21"/>
          <w:highlight w:val="none"/>
        </w:rPr>
        <w:t>款规定的量化因素和分值进</w:t>
      </w:r>
      <w:r>
        <w:rPr>
          <w:spacing w:val="-4"/>
          <w:sz w:val="21"/>
          <w:szCs w:val="21"/>
          <w:highlight w:val="none"/>
        </w:rPr>
        <w:t>行打分，并计算出综合评估得分。</w:t>
      </w:r>
    </w:p>
    <w:p w14:paraId="6894E3DE">
      <w:pPr>
        <w:pStyle w:val="8"/>
        <w:spacing w:before="136" w:line="234" w:lineRule="auto"/>
        <w:ind w:left="423"/>
        <w:rPr>
          <w:sz w:val="21"/>
          <w:szCs w:val="21"/>
          <w:highlight w:val="none"/>
        </w:rPr>
      </w:pPr>
      <w:r>
        <w:rPr>
          <w:rFonts w:ascii="Times New Roman" w:hAnsi="Times New Roman" w:eastAsia="Times New Roman" w:cs="Times New Roman"/>
          <w:sz w:val="21"/>
          <w:szCs w:val="21"/>
          <w:highlight w:val="none"/>
        </w:rPr>
        <w:t xml:space="preserve">3.2.2  </w:t>
      </w:r>
      <w:r>
        <w:rPr>
          <w:sz w:val="21"/>
          <w:szCs w:val="21"/>
          <w:highlight w:val="none"/>
        </w:rPr>
        <w:t>评分分值计算保留小数点后两位，小数点后第三位</w:t>
      </w:r>
      <w:r>
        <w:rPr>
          <w:rFonts w:ascii="Times New Roman" w:hAnsi="Times New Roman" w:eastAsia="Times New Roman" w:cs="Times New Roman"/>
          <w:sz w:val="21"/>
          <w:szCs w:val="21"/>
          <w:highlight w:val="none"/>
        </w:rPr>
        <w:t>“</w:t>
      </w:r>
      <w:r>
        <w:rPr>
          <w:sz w:val="21"/>
          <w:szCs w:val="21"/>
          <w:highlight w:val="none"/>
        </w:rPr>
        <w:t>四</w:t>
      </w:r>
      <w:r>
        <w:rPr>
          <w:spacing w:val="-1"/>
          <w:sz w:val="21"/>
          <w:szCs w:val="21"/>
          <w:highlight w:val="none"/>
        </w:rPr>
        <w:t>舍五入</w:t>
      </w:r>
      <w:r>
        <w:rPr>
          <w:rFonts w:ascii="Times New Roman" w:hAnsi="Times New Roman" w:eastAsia="Times New Roman" w:cs="Times New Roman"/>
          <w:spacing w:val="-1"/>
          <w:sz w:val="21"/>
          <w:szCs w:val="21"/>
          <w:highlight w:val="none"/>
        </w:rPr>
        <w:t>”</w:t>
      </w:r>
      <w:r>
        <w:rPr>
          <w:spacing w:val="-1"/>
          <w:sz w:val="21"/>
          <w:szCs w:val="21"/>
          <w:highlight w:val="none"/>
        </w:rPr>
        <w:t>。</w:t>
      </w:r>
    </w:p>
    <w:p w14:paraId="7E226EC3">
      <w:pPr>
        <w:pStyle w:val="8"/>
        <w:spacing w:before="132" w:line="308" w:lineRule="auto"/>
        <w:ind w:left="5" w:right="73" w:firstLine="417"/>
        <w:rPr>
          <w:sz w:val="21"/>
          <w:szCs w:val="21"/>
          <w:highlight w:val="none"/>
        </w:rPr>
      </w:pPr>
      <w:r>
        <w:rPr>
          <w:rFonts w:ascii="Times New Roman" w:hAnsi="Times New Roman" w:eastAsia="Times New Roman" w:cs="Times New Roman"/>
          <w:spacing w:val="-2"/>
          <w:sz w:val="21"/>
          <w:szCs w:val="21"/>
          <w:highlight w:val="none"/>
        </w:rPr>
        <w:t>3.2.</w:t>
      </w:r>
      <w:r>
        <w:rPr>
          <w:rFonts w:hint="eastAsia" w:ascii="Times New Roman" w:hAnsi="Times New Roman" w:eastAsia="宋体" w:cs="Times New Roman"/>
          <w:spacing w:val="-2"/>
          <w:sz w:val="21"/>
          <w:szCs w:val="21"/>
          <w:highlight w:val="none"/>
          <w:lang w:val="en-US" w:eastAsia="zh-CN"/>
        </w:rPr>
        <w:t>3</w:t>
      </w:r>
      <w:r>
        <w:rPr>
          <w:rFonts w:ascii="Times New Roman" w:hAnsi="Times New Roman" w:eastAsia="Times New Roman" w:cs="Times New Roman"/>
          <w:spacing w:val="-2"/>
          <w:sz w:val="21"/>
          <w:szCs w:val="21"/>
          <w:highlight w:val="none"/>
        </w:rPr>
        <w:t xml:space="preserve"> </w:t>
      </w:r>
      <w:r>
        <w:rPr>
          <w:rFonts w:hint="eastAsia" w:eastAsia="宋体"/>
          <w:spacing w:val="-2"/>
          <w:sz w:val="21"/>
          <w:szCs w:val="21"/>
          <w:highlight w:val="none"/>
          <w:lang w:eastAsia="zh-CN"/>
        </w:rPr>
        <w:t>评审小组</w:t>
      </w:r>
      <w:r>
        <w:rPr>
          <w:spacing w:val="-2"/>
          <w:sz w:val="21"/>
          <w:szCs w:val="21"/>
          <w:highlight w:val="none"/>
        </w:rPr>
        <w:t>发现投标人的报价明显低于其他投标报价，使得其投标报价可能低于其个</w:t>
      </w:r>
      <w:r>
        <w:rPr>
          <w:spacing w:val="9"/>
          <w:sz w:val="21"/>
          <w:szCs w:val="21"/>
          <w:highlight w:val="none"/>
        </w:rPr>
        <w:t xml:space="preserve"> </w:t>
      </w:r>
      <w:r>
        <w:rPr>
          <w:spacing w:val="1"/>
          <w:sz w:val="21"/>
          <w:szCs w:val="21"/>
          <w:highlight w:val="none"/>
        </w:rPr>
        <w:t>别成本的，应当要求该投标人作出书面说明并提</w:t>
      </w:r>
      <w:r>
        <w:rPr>
          <w:sz w:val="21"/>
          <w:szCs w:val="21"/>
          <w:highlight w:val="none"/>
        </w:rPr>
        <w:t xml:space="preserve">供相应的证明材料。投标人不能合理说明或者 </w:t>
      </w:r>
      <w:r>
        <w:rPr>
          <w:spacing w:val="-4"/>
          <w:sz w:val="21"/>
          <w:szCs w:val="21"/>
          <w:highlight w:val="none"/>
        </w:rPr>
        <w:t>不能提供相应证明材料的，</w:t>
      </w:r>
      <w:r>
        <w:rPr>
          <w:rFonts w:hint="eastAsia"/>
          <w:spacing w:val="-4"/>
          <w:sz w:val="21"/>
          <w:szCs w:val="21"/>
          <w:highlight w:val="none"/>
          <w:lang w:eastAsia="zh-CN"/>
        </w:rPr>
        <w:t>评审小组</w:t>
      </w:r>
      <w:r>
        <w:rPr>
          <w:spacing w:val="-4"/>
          <w:sz w:val="21"/>
          <w:szCs w:val="21"/>
          <w:highlight w:val="none"/>
        </w:rPr>
        <w:t>应当认定该投</w:t>
      </w:r>
      <w:r>
        <w:rPr>
          <w:spacing w:val="-5"/>
          <w:sz w:val="21"/>
          <w:szCs w:val="21"/>
          <w:highlight w:val="none"/>
        </w:rPr>
        <w:t>标人以低于成本报价竞标，并否决其投标。</w:t>
      </w:r>
    </w:p>
    <w:p w14:paraId="0EBC5466">
      <w:pPr>
        <w:spacing w:before="133" w:line="233" w:lineRule="auto"/>
        <w:ind w:left="140"/>
        <w:outlineLvl w:val="2"/>
        <w:rPr>
          <w:rFonts w:ascii="Arial"/>
          <w:sz w:val="21"/>
          <w:highlight w:val="none"/>
        </w:rPr>
      </w:pPr>
      <w:bookmarkStart w:id="69" w:name="_Toc24969"/>
      <w:r>
        <w:rPr>
          <w:rFonts w:ascii="Times New Roman" w:hAnsi="Times New Roman" w:eastAsia="Times New Roman" w:cs="Times New Roman"/>
          <w:spacing w:val="-1"/>
          <w:sz w:val="28"/>
          <w:szCs w:val="28"/>
          <w:highlight w:val="none"/>
        </w:rPr>
        <w:t xml:space="preserve">3.3  </w:t>
      </w:r>
      <w:r>
        <w:rPr>
          <w:rFonts w:ascii="黑体" w:hAnsi="黑体" w:eastAsia="黑体" w:cs="黑体"/>
          <w:spacing w:val="-1"/>
          <w:sz w:val="28"/>
          <w:szCs w:val="28"/>
          <w:highlight w:val="none"/>
        </w:rPr>
        <w:t>投标文件的澄清</w:t>
      </w:r>
      <w:bookmarkEnd w:id="69"/>
    </w:p>
    <w:p w14:paraId="51BB78DF">
      <w:pPr>
        <w:pStyle w:val="8"/>
        <w:spacing w:before="68" w:line="307" w:lineRule="auto"/>
        <w:ind w:right="74" w:firstLine="420"/>
        <w:rPr>
          <w:sz w:val="21"/>
          <w:szCs w:val="21"/>
          <w:highlight w:val="none"/>
        </w:rPr>
      </w:pPr>
      <w:r>
        <w:rPr>
          <w:rFonts w:ascii="Times New Roman" w:hAnsi="Times New Roman" w:eastAsia="Times New Roman" w:cs="Times New Roman"/>
          <w:spacing w:val="-2"/>
          <w:sz w:val="21"/>
          <w:szCs w:val="21"/>
          <w:highlight w:val="none"/>
        </w:rPr>
        <w:t xml:space="preserve">3.3.1  </w:t>
      </w:r>
      <w:r>
        <w:rPr>
          <w:spacing w:val="-2"/>
          <w:sz w:val="21"/>
          <w:szCs w:val="21"/>
          <w:highlight w:val="none"/>
        </w:rPr>
        <w:t>在评标过程中，</w:t>
      </w:r>
      <w:r>
        <w:rPr>
          <w:rFonts w:hint="eastAsia"/>
          <w:spacing w:val="-2"/>
          <w:sz w:val="21"/>
          <w:szCs w:val="21"/>
          <w:highlight w:val="none"/>
          <w:lang w:eastAsia="zh-CN"/>
        </w:rPr>
        <w:t>评审小组</w:t>
      </w:r>
      <w:r>
        <w:rPr>
          <w:spacing w:val="-2"/>
          <w:sz w:val="21"/>
          <w:szCs w:val="21"/>
          <w:highlight w:val="none"/>
        </w:rPr>
        <w:t>可以书面形式要求投标人对投标文件中含义不明确、对同</w:t>
      </w:r>
      <w:r>
        <w:rPr>
          <w:spacing w:val="9"/>
          <w:sz w:val="21"/>
          <w:szCs w:val="21"/>
          <w:highlight w:val="none"/>
        </w:rPr>
        <w:t xml:space="preserve"> </w:t>
      </w:r>
      <w:r>
        <w:rPr>
          <w:spacing w:val="1"/>
          <w:sz w:val="21"/>
          <w:szCs w:val="21"/>
          <w:highlight w:val="none"/>
        </w:rPr>
        <w:t>类问题表述不一致或者有明显文字和计算错误的内容作</w:t>
      </w:r>
      <w:r>
        <w:rPr>
          <w:sz w:val="21"/>
          <w:szCs w:val="21"/>
          <w:highlight w:val="none"/>
        </w:rPr>
        <w:t>必要的澄清、说明或补正。澄清、说明 或补正应以书面方式进行。</w:t>
      </w:r>
      <w:r>
        <w:rPr>
          <w:rFonts w:hint="eastAsia"/>
          <w:sz w:val="21"/>
          <w:szCs w:val="21"/>
          <w:highlight w:val="none"/>
          <w:lang w:eastAsia="zh-CN"/>
        </w:rPr>
        <w:t>评审小组</w:t>
      </w:r>
      <w:r>
        <w:rPr>
          <w:sz w:val="21"/>
          <w:szCs w:val="21"/>
          <w:highlight w:val="none"/>
        </w:rPr>
        <w:t>不接受投标人主动提出的澄清、说明或补</w:t>
      </w:r>
      <w:r>
        <w:rPr>
          <w:spacing w:val="-1"/>
          <w:sz w:val="21"/>
          <w:szCs w:val="21"/>
          <w:highlight w:val="none"/>
        </w:rPr>
        <w:t>正。</w:t>
      </w:r>
    </w:p>
    <w:p w14:paraId="0B9A9E66">
      <w:pPr>
        <w:pStyle w:val="8"/>
        <w:spacing w:before="151" w:line="285" w:lineRule="auto"/>
        <w:ind w:left="1" w:right="74" w:firstLine="418"/>
        <w:rPr>
          <w:sz w:val="21"/>
          <w:szCs w:val="21"/>
          <w:highlight w:val="none"/>
        </w:rPr>
      </w:pPr>
      <w:r>
        <w:rPr>
          <w:rFonts w:ascii="Times New Roman" w:hAnsi="Times New Roman" w:eastAsia="Times New Roman" w:cs="Times New Roman"/>
          <w:spacing w:val="-2"/>
          <w:sz w:val="21"/>
          <w:szCs w:val="21"/>
          <w:highlight w:val="none"/>
        </w:rPr>
        <w:t xml:space="preserve">3.3.2  </w:t>
      </w:r>
      <w:r>
        <w:rPr>
          <w:spacing w:val="-2"/>
          <w:sz w:val="21"/>
          <w:szCs w:val="21"/>
          <w:highlight w:val="none"/>
        </w:rPr>
        <w:t>澄清、说明或补正不得超出投标文件的范围且不得改变投标文件的实质性内容，并构</w:t>
      </w:r>
      <w:r>
        <w:rPr>
          <w:spacing w:val="9"/>
          <w:sz w:val="21"/>
          <w:szCs w:val="21"/>
          <w:highlight w:val="none"/>
        </w:rPr>
        <w:t xml:space="preserve"> </w:t>
      </w:r>
      <w:r>
        <w:rPr>
          <w:spacing w:val="-2"/>
          <w:sz w:val="21"/>
          <w:szCs w:val="21"/>
          <w:highlight w:val="none"/>
        </w:rPr>
        <w:t>成投标文件的组成部分。</w:t>
      </w:r>
    </w:p>
    <w:p w14:paraId="38380644">
      <w:pPr>
        <w:pStyle w:val="8"/>
        <w:spacing w:before="150" w:line="286" w:lineRule="auto"/>
        <w:ind w:left="2" w:firstLine="417"/>
        <w:rPr>
          <w:sz w:val="21"/>
          <w:szCs w:val="21"/>
          <w:highlight w:val="none"/>
        </w:rPr>
      </w:pPr>
      <w:r>
        <w:rPr>
          <w:rFonts w:ascii="Times New Roman" w:hAnsi="Times New Roman" w:eastAsia="Times New Roman" w:cs="Times New Roman"/>
          <w:spacing w:val="-5"/>
          <w:sz w:val="21"/>
          <w:szCs w:val="21"/>
          <w:highlight w:val="none"/>
        </w:rPr>
        <w:t xml:space="preserve">3.3.3  </w:t>
      </w:r>
      <w:r>
        <w:rPr>
          <w:rFonts w:hint="eastAsia" w:eastAsia="宋体"/>
          <w:spacing w:val="-5"/>
          <w:sz w:val="21"/>
          <w:szCs w:val="21"/>
          <w:highlight w:val="none"/>
          <w:lang w:eastAsia="zh-CN"/>
        </w:rPr>
        <w:t>评审小组</w:t>
      </w:r>
      <w:r>
        <w:rPr>
          <w:spacing w:val="-5"/>
          <w:sz w:val="21"/>
          <w:szCs w:val="21"/>
          <w:highlight w:val="none"/>
        </w:rPr>
        <w:t>对投标人提交的澄清、说明或补正有疑问的，可以要求投标人进一步澄清、</w:t>
      </w:r>
      <w:r>
        <w:rPr>
          <w:spacing w:val="11"/>
          <w:sz w:val="21"/>
          <w:szCs w:val="21"/>
          <w:highlight w:val="none"/>
        </w:rPr>
        <w:t xml:space="preserve"> </w:t>
      </w:r>
      <w:r>
        <w:rPr>
          <w:spacing w:val="-1"/>
          <w:sz w:val="21"/>
          <w:szCs w:val="21"/>
          <w:highlight w:val="none"/>
        </w:rPr>
        <w:t>说明或补正，直至满足</w:t>
      </w:r>
      <w:r>
        <w:rPr>
          <w:rFonts w:hint="eastAsia"/>
          <w:spacing w:val="-1"/>
          <w:sz w:val="21"/>
          <w:szCs w:val="21"/>
          <w:highlight w:val="none"/>
          <w:lang w:eastAsia="zh-CN"/>
        </w:rPr>
        <w:t>评审小组</w:t>
      </w:r>
      <w:r>
        <w:rPr>
          <w:spacing w:val="-1"/>
          <w:sz w:val="21"/>
          <w:szCs w:val="21"/>
          <w:highlight w:val="none"/>
        </w:rPr>
        <w:t>的要求。</w:t>
      </w:r>
    </w:p>
    <w:p w14:paraId="08A70B28">
      <w:pPr>
        <w:spacing w:before="310" w:line="233" w:lineRule="auto"/>
        <w:ind w:left="140"/>
        <w:outlineLvl w:val="2"/>
        <w:rPr>
          <w:rFonts w:ascii="Arial"/>
          <w:sz w:val="21"/>
          <w:highlight w:val="none"/>
        </w:rPr>
      </w:pPr>
      <w:bookmarkStart w:id="70" w:name="_Toc11100"/>
      <w:r>
        <w:rPr>
          <w:rFonts w:ascii="Times New Roman" w:hAnsi="Times New Roman" w:eastAsia="Times New Roman" w:cs="Times New Roman"/>
          <w:spacing w:val="-1"/>
          <w:sz w:val="28"/>
          <w:szCs w:val="28"/>
          <w:highlight w:val="none"/>
        </w:rPr>
        <w:t xml:space="preserve">3.4  </w:t>
      </w:r>
      <w:r>
        <w:rPr>
          <w:rFonts w:ascii="黑体" w:hAnsi="黑体" w:eastAsia="黑体" w:cs="黑体"/>
          <w:spacing w:val="-1"/>
          <w:sz w:val="28"/>
          <w:szCs w:val="28"/>
          <w:highlight w:val="none"/>
        </w:rPr>
        <w:t>评标结果</w:t>
      </w:r>
      <w:bookmarkEnd w:id="70"/>
    </w:p>
    <w:p w14:paraId="79221DBE">
      <w:pPr>
        <w:pStyle w:val="8"/>
        <w:spacing w:before="69" w:line="286" w:lineRule="auto"/>
        <w:ind w:left="17" w:right="76" w:firstLine="403"/>
        <w:rPr>
          <w:sz w:val="21"/>
          <w:szCs w:val="21"/>
          <w:highlight w:val="none"/>
        </w:rPr>
      </w:pPr>
      <w:r>
        <w:rPr>
          <w:rFonts w:ascii="Times New Roman" w:hAnsi="Times New Roman" w:eastAsia="Times New Roman" w:cs="Times New Roman"/>
          <w:spacing w:val="-1"/>
          <w:sz w:val="21"/>
          <w:szCs w:val="21"/>
          <w:highlight w:val="none"/>
        </w:rPr>
        <w:t xml:space="preserve">3.4.1 </w:t>
      </w:r>
      <w:r>
        <w:rPr>
          <w:rFonts w:hint="eastAsia"/>
          <w:spacing w:val="-2"/>
          <w:sz w:val="21"/>
          <w:szCs w:val="21"/>
          <w:highlight w:val="none"/>
          <w:lang w:eastAsia="zh-CN"/>
        </w:rPr>
        <w:t>评审小组</w:t>
      </w:r>
      <w:r>
        <w:rPr>
          <w:spacing w:val="-2"/>
          <w:sz w:val="21"/>
          <w:szCs w:val="21"/>
          <w:highlight w:val="none"/>
        </w:rPr>
        <w:t>按照得分由高到低</w:t>
      </w:r>
      <w:r>
        <w:rPr>
          <w:sz w:val="21"/>
          <w:szCs w:val="21"/>
          <w:highlight w:val="none"/>
        </w:rPr>
        <w:t xml:space="preserve"> </w:t>
      </w:r>
      <w:r>
        <w:rPr>
          <w:spacing w:val="-2"/>
          <w:sz w:val="21"/>
          <w:szCs w:val="21"/>
          <w:highlight w:val="none"/>
        </w:rPr>
        <w:t>的顺序推荐中标候选人，并标明排序。</w:t>
      </w:r>
    </w:p>
    <w:p w14:paraId="02C51A4F">
      <w:pPr>
        <w:spacing w:line="308" w:lineRule="auto"/>
        <w:ind w:firstLine="416" w:firstLineChars="200"/>
        <w:rPr>
          <w:rFonts w:hint="eastAsia" w:ascii="宋体" w:hAnsi="宋体" w:eastAsia="宋体" w:cs="宋体"/>
          <w:sz w:val="21"/>
          <w:szCs w:val="21"/>
          <w:highlight w:val="none"/>
          <w:lang w:val="en-US" w:eastAsia="zh-CN"/>
        </w:rPr>
        <w:sectPr>
          <w:footerReference r:id="rId9" w:type="default"/>
          <w:pgSz w:w="12240" w:h="15840"/>
          <w:pgMar w:top="1346" w:right="1720" w:bottom="1121" w:left="1805" w:header="0" w:footer="894" w:gutter="0"/>
          <w:pgNumType w:fmt="decimal"/>
          <w:cols w:space="720" w:num="1"/>
        </w:sectPr>
      </w:pPr>
      <w:r>
        <w:rPr>
          <w:rFonts w:ascii="Times New Roman" w:hAnsi="Times New Roman" w:eastAsia="Times New Roman" w:cs="Times New Roman"/>
          <w:spacing w:val="-1"/>
          <w:sz w:val="21"/>
          <w:szCs w:val="21"/>
          <w:highlight w:val="none"/>
        </w:rPr>
        <w:t xml:space="preserve">3.4.2  </w:t>
      </w:r>
      <w:r>
        <w:rPr>
          <w:rFonts w:hint="eastAsia" w:eastAsia="宋体"/>
          <w:spacing w:val="-1"/>
          <w:sz w:val="21"/>
          <w:szCs w:val="21"/>
          <w:highlight w:val="none"/>
          <w:lang w:eastAsia="zh-CN"/>
        </w:rPr>
        <w:t>评审小组</w:t>
      </w:r>
      <w:r>
        <w:rPr>
          <w:spacing w:val="-1"/>
          <w:sz w:val="21"/>
          <w:szCs w:val="21"/>
          <w:highlight w:val="none"/>
        </w:rPr>
        <w:t>完成评标后，</w:t>
      </w:r>
      <w:r>
        <w:rPr>
          <w:rFonts w:hint="eastAsia" w:eastAsia="宋体"/>
          <w:spacing w:val="-1"/>
          <w:sz w:val="21"/>
          <w:szCs w:val="21"/>
          <w:highlight w:val="none"/>
          <w:lang w:val="en-US" w:eastAsia="zh-CN"/>
        </w:rPr>
        <w:t>出具</w:t>
      </w:r>
      <w:r>
        <w:rPr>
          <w:spacing w:val="-1"/>
          <w:sz w:val="21"/>
          <w:szCs w:val="21"/>
          <w:highlight w:val="none"/>
        </w:rPr>
        <w:t>书面</w:t>
      </w:r>
      <w:r>
        <w:rPr>
          <w:rFonts w:hint="eastAsia" w:eastAsia="宋体"/>
          <w:spacing w:val="-1"/>
          <w:sz w:val="21"/>
          <w:szCs w:val="21"/>
          <w:highlight w:val="none"/>
          <w:lang w:val="en-US" w:eastAsia="zh-CN"/>
        </w:rPr>
        <w:t>评审结果，由招标人在</w:t>
      </w:r>
      <w:r>
        <w:rPr>
          <w:rFonts w:hint="eastAsia" w:ascii="宋体" w:hAnsi="宋体" w:eastAsia="宋体" w:cs="宋体"/>
          <w:spacing w:val="-1"/>
          <w:sz w:val="21"/>
          <w:szCs w:val="21"/>
          <w:highlight w:val="none"/>
          <w:lang w:val="en-US" w:eastAsia="zh-CN"/>
        </w:rPr>
        <w:t>青岛碧海水务有限公司网站（https://www.qdbhwater.com/ ）</w:t>
      </w:r>
      <w:r>
        <w:rPr>
          <w:rFonts w:hint="eastAsia" w:ascii="宋体" w:hAnsi="宋体" w:eastAsia="宋体" w:cs="宋体"/>
          <w:spacing w:val="-1"/>
          <w:sz w:val="21"/>
          <w:szCs w:val="21"/>
          <w:highlight w:val="none"/>
        </w:rPr>
        <w:t>上发布</w:t>
      </w:r>
      <w:r>
        <w:rPr>
          <w:rFonts w:hint="eastAsia" w:ascii="宋体" w:hAnsi="宋体" w:eastAsia="宋体" w:cs="宋体"/>
          <w:spacing w:val="-1"/>
          <w:sz w:val="21"/>
          <w:szCs w:val="21"/>
          <w:highlight w:val="none"/>
          <w:lang w:eastAsia="zh-CN"/>
        </w:rPr>
        <w:t>。</w:t>
      </w:r>
    </w:p>
    <w:p w14:paraId="53A20130">
      <w:pPr>
        <w:pageBreakBefore w:val="0"/>
        <w:shd w:val="clear"/>
        <w:kinsoku/>
        <w:wordWrap/>
        <w:overflowPunct/>
        <w:autoSpaceDE/>
        <w:autoSpaceDN/>
        <w:bidi w:val="0"/>
        <w:adjustRightInd w:val="0"/>
        <w:snapToGrid w:val="0"/>
        <w:spacing w:line="360" w:lineRule="auto"/>
        <w:jc w:val="both"/>
        <w:textAlignment w:val="auto"/>
        <w:rPr>
          <w:rFonts w:hint="eastAsia" w:ascii="仿宋" w:hAnsi="仿宋" w:eastAsia="仿宋" w:cs="仿宋"/>
          <w:b/>
          <w:bCs/>
          <w:sz w:val="36"/>
          <w:szCs w:val="36"/>
          <w:highlight w:val="none"/>
        </w:rPr>
      </w:pPr>
    </w:p>
    <w:p w14:paraId="4E5ED562">
      <w:pPr>
        <w:pageBreakBefore w:val="0"/>
        <w:shd w:val="clear"/>
        <w:kinsoku/>
        <w:wordWrap/>
        <w:overflowPunct/>
        <w:autoSpaceDE/>
        <w:autoSpaceDN/>
        <w:bidi w:val="0"/>
        <w:adjustRightInd w:val="0"/>
        <w:snapToGrid w:val="0"/>
        <w:spacing w:line="360" w:lineRule="auto"/>
        <w:ind w:firstLine="723" w:firstLineChars="200"/>
        <w:jc w:val="center"/>
        <w:textAlignment w:val="auto"/>
        <w:rPr>
          <w:rFonts w:hint="eastAsia" w:ascii="仿宋" w:hAnsi="仿宋" w:eastAsia="仿宋" w:cs="仿宋"/>
          <w:b/>
          <w:bCs/>
          <w:sz w:val="36"/>
          <w:szCs w:val="36"/>
          <w:highlight w:val="none"/>
          <w:lang w:val="en-US" w:eastAsia="zh-CN"/>
        </w:rPr>
      </w:pPr>
      <w:r>
        <w:rPr>
          <w:rFonts w:hint="eastAsia" w:ascii="仿宋" w:hAnsi="仿宋" w:eastAsia="仿宋" w:cs="仿宋"/>
          <w:b/>
          <w:bCs/>
          <w:sz w:val="36"/>
          <w:szCs w:val="36"/>
          <w:highlight w:val="none"/>
        </w:rPr>
        <w:t>第</w:t>
      </w:r>
      <w:r>
        <w:rPr>
          <w:rFonts w:hint="eastAsia" w:ascii="仿宋" w:hAnsi="仿宋" w:eastAsia="仿宋" w:cs="仿宋"/>
          <w:b/>
          <w:bCs/>
          <w:sz w:val="36"/>
          <w:szCs w:val="36"/>
          <w:highlight w:val="none"/>
          <w:lang w:val="en-US" w:eastAsia="zh-CN"/>
        </w:rPr>
        <w:t>六</w:t>
      </w:r>
      <w:r>
        <w:rPr>
          <w:rFonts w:hint="eastAsia" w:ascii="仿宋" w:hAnsi="仿宋" w:eastAsia="仿宋" w:cs="仿宋"/>
          <w:b/>
          <w:bCs/>
          <w:sz w:val="36"/>
          <w:szCs w:val="36"/>
          <w:highlight w:val="none"/>
        </w:rPr>
        <w:t>章  投标文件编制</w:t>
      </w:r>
      <w:bookmarkEnd w:id="20"/>
      <w:bookmarkEnd w:id="21"/>
      <w:r>
        <w:rPr>
          <w:rFonts w:hint="eastAsia" w:ascii="仿宋" w:hAnsi="仿宋" w:eastAsia="仿宋" w:cs="仿宋"/>
          <w:b/>
          <w:bCs/>
          <w:sz w:val="36"/>
          <w:szCs w:val="36"/>
          <w:highlight w:val="none"/>
          <w:lang w:val="en-US" w:eastAsia="zh-CN"/>
        </w:rPr>
        <w:t>要求</w:t>
      </w:r>
    </w:p>
    <w:p w14:paraId="658BB1CE">
      <w:pPr>
        <w:pageBreakBefore w:val="0"/>
        <w:shd w:val="clear"/>
        <w:kinsoku/>
        <w:wordWrap/>
        <w:overflowPunct/>
        <w:autoSpaceDE/>
        <w:autoSpaceDN/>
        <w:bidi w:val="0"/>
        <w:adjustRightInd w:val="0"/>
        <w:snapToGrid w:val="0"/>
        <w:spacing w:line="360" w:lineRule="auto"/>
        <w:ind w:firstLine="720" w:firstLineChars="200"/>
        <w:textAlignment w:val="auto"/>
        <w:rPr>
          <w:rFonts w:hint="eastAsia" w:ascii="仿宋" w:hAnsi="仿宋" w:eastAsia="仿宋" w:cs="仿宋"/>
          <w:sz w:val="36"/>
          <w:szCs w:val="36"/>
          <w:highlight w:val="none"/>
          <w:lang w:val="en-US" w:eastAsia="zh-CN"/>
        </w:rPr>
      </w:pPr>
    </w:p>
    <w:p w14:paraId="6D919348">
      <w:pPr>
        <w:pageBreakBefore w:val="0"/>
        <w:shd w:val="clear"/>
        <w:kinsoku/>
        <w:wordWrap/>
        <w:overflowPunct/>
        <w:autoSpaceDE/>
        <w:autoSpaceDN/>
        <w:bidi w:val="0"/>
        <w:adjustRightInd w:val="0"/>
        <w:snapToGrid w:val="0"/>
        <w:spacing w:line="360" w:lineRule="auto"/>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1.应按本文件规定的格式、顺序制作</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每页必须加盖公章</w:t>
      </w:r>
      <w:r>
        <w:rPr>
          <w:rFonts w:hint="eastAsia" w:ascii="仿宋" w:hAnsi="仿宋" w:eastAsia="仿宋" w:cs="仿宋"/>
          <w:sz w:val="28"/>
          <w:szCs w:val="28"/>
          <w:highlight w:val="none"/>
        </w:rPr>
        <w:t>。</w:t>
      </w:r>
    </w:p>
    <w:p w14:paraId="711A5B67">
      <w:pPr>
        <w:pageBreakBefore w:val="0"/>
        <w:shd w:val="clear"/>
        <w:kinsoku/>
        <w:wordWrap/>
        <w:overflowPunct/>
        <w:autoSpaceDE/>
        <w:autoSpaceDN/>
        <w:bidi w:val="0"/>
        <w:adjustRightInd w:val="0"/>
        <w:snapToGrid w:val="0"/>
        <w:spacing w:line="360" w:lineRule="auto"/>
        <w:ind w:firstLine="560" w:firstLineChars="200"/>
        <w:textAlignment w:val="auto"/>
        <w:rPr>
          <w:sz w:val="28"/>
          <w:szCs w:val="28"/>
          <w:highlight w:val="none"/>
        </w:rPr>
      </w:pPr>
      <w:r>
        <w:rPr>
          <w:rFonts w:hint="eastAsia" w:ascii="仿宋" w:hAnsi="仿宋" w:eastAsia="仿宋" w:cs="仿宋"/>
          <w:sz w:val="28"/>
          <w:szCs w:val="28"/>
          <w:highlight w:val="none"/>
        </w:rPr>
        <w:t>2.投标文件一式</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份。</w:t>
      </w:r>
    </w:p>
    <w:p w14:paraId="77C501B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3.投标文件</w:t>
      </w:r>
      <w:r>
        <w:rPr>
          <w:rFonts w:hint="eastAsia" w:ascii="仿宋" w:hAnsi="仿宋" w:eastAsia="仿宋" w:cs="仿宋"/>
          <w:sz w:val="28"/>
          <w:szCs w:val="28"/>
          <w:highlight w:val="none"/>
          <w:lang w:val="en-US" w:eastAsia="zh-CN"/>
        </w:rPr>
        <w:t>装订后</w:t>
      </w:r>
      <w:r>
        <w:rPr>
          <w:rFonts w:hint="eastAsia" w:ascii="仿宋" w:hAnsi="仿宋" w:eastAsia="仿宋" w:cs="仿宋"/>
          <w:sz w:val="28"/>
          <w:szCs w:val="28"/>
          <w:highlight w:val="none"/>
        </w:rPr>
        <w:t>用密封袋密封，在密封袋上注明投标日期和投标人名称（全称）并盖公章</w:t>
      </w:r>
      <w:r>
        <w:rPr>
          <w:rFonts w:hint="eastAsia" w:ascii="仿宋" w:hAnsi="仿宋" w:eastAsia="仿宋" w:cs="仿宋"/>
          <w:sz w:val="28"/>
          <w:szCs w:val="28"/>
          <w:highlight w:val="none"/>
          <w:lang w:eastAsia="zh-CN"/>
        </w:rPr>
        <w:t>。</w:t>
      </w:r>
    </w:p>
    <w:p w14:paraId="76FCAEB4">
      <w:pPr>
        <w:kinsoku/>
        <w:autoSpaceDE/>
        <w:autoSpaceDN/>
        <w:spacing w:line="360" w:lineRule="auto"/>
        <w:ind w:firstLine="560" w:firstLineChars="200"/>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4.</w:t>
      </w:r>
      <w:r>
        <w:rPr>
          <w:rFonts w:hint="eastAsia" w:ascii="仿宋" w:hAnsi="仿宋" w:eastAsia="仿宋" w:cs="仿宋"/>
          <w:b w:val="0"/>
          <w:bCs w:val="0"/>
          <w:sz w:val="28"/>
          <w:szCs w:val="28"/>
          <w:highlight w:val="none"/>
          <w:lang w:eastAsia="zh-CN"/>
        </w:rPr>
        <w:t>不分册</w:t>
      </w:r>
      <w:r>
        <w:rPr>
          <w:rFonts w:hint="eastAsia" w:ascii="仿宋" w:hAnsi="仿宋" w:eastAsia="仿宋" w:cs="仿宋"/>
          <w:b w:val="0"/>
          <w:bCs w:val="0"/>
          <w:sz w:val="28"/>
          <w:szCs w:val="28"/>
          <w:highlight w:val="none"/>
          <w:lang w:val="en-US" w:eastAsia="zh-CN"/>
        </w:rPr>
        <w:t>胶装</w:t>
      </w:r>
      <w:r>
        <w:rPr>
          <w:rFonts w:hint="eastAsia" w:ascii="仿宋" w:hAnsi="仿宋" w:eastAsia="仿宋" w:cs="仿宋"/>
          <w:b w:val="0"/>
          <w:bCs w:val="0"/>
          <w:sz w:val="28"/>
          <w:szCs w:val="28"/>
          <w:highlight w:val="none"/>
          <w:lang w:eastAsia="zh-CN"/>
        </w:rPr>
        <w:t>，装订应牢固、不易拆散和换页，不得采用活页装订。</w:t>
      </w:r>
    </w:p>
    <w:p w14:paraId="56368412">
      <w:pPr>
        <w:pageBreakBefore w:val="0"/>
        <w:shd w:val="clear"/>
        <w:kinsoku/>
        <w:wordWrap/>
        <w:overflowPunct/>
        <w:autoSpaceDE/>
        <w:autoSpaceDN/>
        <w:bidi w:val="0"/>
        <w:adjustRightInd w:val="0"/>
        <w:snapToGrid w:val="0"/>
        <w:spacing w:line="360" w:lineRule="auto"/>
        <w:jc w:val="center"/>
        <w:textAlignment w:val="auto"/>
        <w:rPr>
          <w:rFonts w:hint="eastAsia" w:ascii="仿宋" w:hAnsi="仿宋" w:eastAsia="仿宋" w:cs="仿宋"/>
          <w:sz w:val="32"/>
          <w:szCs w:val="32"/>
          <w:highlight w:val="none"/>
          <w:lang w:val="en-US" w:eastAsia="zh-CN"/>
        </w:rPr>
      </w:pPr>
    </w:p>
    <w:p w14:paraId="439C21DB">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3047931B">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469FBB8A">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5623A70F">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317D2B90">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6059DD8E">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34DABBAB">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50ABA454">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64D052A8">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26844944">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6034EC64">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69DA5519">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72120B5E">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0043BBA6">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74D1A6D9">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0E17F6E3">
      <w:pPr>
        <w:rPr>
          <w:highlight w:val="none"/>
        </w:rPr>
      </w:pPr>
    </w:p>
    <w:p w14:paraId="514D5A25">
      <w:pPr>
        <w:widowControl w:val="0"/>
        <w:tabs>
          <w:tab w:val="left" w:pos="5145"/>
        </w:tabs>
        <w:spacing w:line="360" w:lineRule="auto"/>
        <w:ind w:left="178" w:leftChars="85" w:right="277" w:rightChars="132" w:firstLine="361" w:firstLineChars="100"/>
        <w:jc w:val="left"/>
        <w:rPr>
          <w:rFonts w:hint="eastAsia" w:eastAsia="宋体"/>
          <w:b/>
          <w:sz w:val="36"/>
          <w:szCs w:val="36"/>
          <w:highlight w:val="none"/>
          <w:u w:val="single"/>
          <w:lang w:val="en-US" w:eastAsia="zh-CN"/>
        </w:rPr>
      </w:pPr>
      <w:r>
        <w:rPr>
          <w:rFonts w:hint="eastAsia" w:eastAsia="宋体"/>
          <w:b/>
          <w:sz w:val="36"/>
          <w:szCs w:val="36"/>
          <w:highlight w:val="none"/>
          <w:u w:val="single"/>
          <w:lang w:val="en-US" w:eastAsia="zh-CN"/>
        </w:rPr>
        <w:t>项目名称：</w:t>
      </w:r>
    </w:p>
    <w:p w14:paraId="1E5A8C41">
      <w:pPr>
        <w:pStyle w:val="26"/>
        <w:ind w:left="600" w:firstLine="361" w:firstLineChars="100"/>
        <w:jc w:val="center"/>
        <w:rPr>
          <w:b/>
          <w:sz w:val="56"/>
          <w:highlight w:val="none"/>
        </w:rPr>
      </w:pPr>
      <w:r>
        <w:rPr>
          <w:rFonts w:hint="eastAsia" w:eastAsia="宋体"/>
          <w:b/>
          <w:sz w:val="36"/>
          <w:szCs w:val="36"/>
          <w:highlight w:val="none"/>
          <w:u w:val="single"/>
          <w:lang w:val="en-US" w:eastAsia="zh-CN"/>
        </w:rPr>
        <w:t>项目编号：</w:t>
      </w:r>
    </w:p>
    <w:p w14:paraId="52731752">
      <w:pPr>
        <w:spacing w:line="480" w:lineRule="auto"/>
        <w:ind w:left="600" w:firstLine="0" w:firstLineChars="0"/>
        <w:jc w:val="center"/>
        <w:rPr>
          <w:b/>
          <w:sz w:val="56"/>
          <w:highlight w:val="none"/>
        </w:rPr>
      </w:pPr>
      <w:r>
        <w:rPr>
          <w:rFonts w:hint="eastAsia"/>
          <w:b/>
          <w:sz w:val="56"/>
          <w:highlight w:val="none"/>
          <w:lang w:eastAsia="zh-CN"/>
        </w:rPr>
        <w:t>报价</w:t>
      </w:r>
      <w:r>
        <w:rPr>
          <w:rFonts w:hint="eastAsia"/>
          <w:b/>
          <w:sz w:val="56"/>
          <w:highlight w:val="none"/>
        </w:rPr>
        <w:t>文件</w:t>
      </w:r>
    </w:p>
    <w:p w14:paraId="07ACFF9F">
      <w:pPr>
        <w:pStyle w:val="26"/>
        <w:ind w:left="1200" w:firstLine="0" w:firstLineChars="0"/>
        <w:rPr>
          <w:rFonts w:ascii="仿宋_GB2312" w:hAnsi="仿宋_GB2312" w:eastAsia="仿宋_GB2312" w:cs="仿宋_GB2312"/>
          <w:b/>
          <w:sz w:val="32"/>
          <w:highlight w:val="none"/>
        </w:rPr>
      </w:pPr>
    </w:p>
    <w:p w14:paraId="730D6EAD">
      <w:pPr>
        <w:pStyle w:val="26"/>
        <w:ind w:left="1200" w:firstLine="0" w:firstLineChars="0"/>
        <w:rPr>
          <w:rFonts w:hint="eastAsia" w:ascii="仿宋_GB2312" w:hAnsi="仿宋_GB2312" w:eastAsia="仿宋_GB2312" w:cs="仿宋_GB2312"/>
          <w:b/>
          <w:sz w:val="32"/>
          <w:highlight w:val="none"/>
          <w:lang w:eastAsia="zh-CN"/>
        </w:rPr>
      </w:pPr>
    </w:p>
    <w:p w14:paraId="0EF0B1E4">
      <w:pPr>
        <w:pStyle w:val="26"/>
        <w:ind w:left="1200" w:firstLine="0" w:firstLineChars="0"/>
        <w:rPr>
          <w:rFonts w:hint="eastAsia" w:ascii="仿宋_GB2312" w:hAnsi="仿宋_GB2312" w:eastAsia="仿宋_GB2312" w:cs="仿宋_GB2312"/>
          <w:b/>
          <w:sz w:val="32"/>
          <w:highlight w:val="none"/>
          <w:lang w:eastAsia="zh-CN"/>
        </w:rPr>
      </w:pPr>
    </w:p>
    <w:p w14:paraId="2B17EAA4">
      <w:pPr>
        <w:pStyle w:val="26"/>
        <w:ind w:left="1200" w:firstLine="0" w:firstLineChars="0"/>
        <w:rPr>
          <w:rFonts w:hint="eastAsia" w:ascii="仿宋_GB2312" w:hAnsi="仿宋_GB2312" w:eastAsia="仿宋_GB2312" w:cs="仿宋_GB2312"/>
          <w:b/>
          <w:sz w:val="32"/>
          <w:highlight w:val="none"/>
          <w:lang w:eastAsia="zh-CN"/>
        </w:rPr>
      </w:pPr>
    </w:p>
    <w:p w14:paraId="1ED7A479">
      <w:pPr>
        <w:pStyle w:val="26"/>
        <w:ind w:left="1200" w:firstLine="0" w:firstLineChars="0"/>
        <w:rPr>
          <w:rFonts w:hint="eastAsia" w:ascii="仿宋_GB2312" w:hAnsi="仿宋_GB2312" w:eastAsia="仿宋_GB2312" w:cs="仿宋_GB2312"/>
          <w:b/>
          <w:sz w:val="32"/>
          <w:highlight w:val="none"/>
          <w:lang w:eastAsia="zh-CN"/>
        </w:rPr>
      </w:pPr>
    </w:p>
    <w:p w14:paraId="346735E4">
      <w:pPr>
        <w:pStyle w:val="26"/>
        <w:ind w:left="1200" w:firstLine="0" w:firstLineChars="0"/>
        <w:rPr>
          <w:rFonts w:hint="eastAsia" w:ascii="仿宋_GB2312" w:hAnsi="仿宋_GB2312" w:eastAsia="仿宋_GB2312" w:cs="仿宋_GB2312"/>
          <w:b/>
          <w:sz w:val="32"/>
          <w:highlight w:val="none"/>
          <w:lang w:eastAsia="zh-CN"/>
        </w:rPr>
      </w:pPr>
    </w:p>
    <w:p w14:paraId="0BC68461">
      <w:pPr>
        <w:pStyle w:val="26"/>
        <w:ind w:left="1200" w:firstLine="0" w:firstLineChars="0"/>
        <w:rPr>
          <w:rFonts w:ascii="仿宋_GB2312" w:hAnsi="仿宋_GB2312" w:eastAsia="仿宋_GB2312" w:cs="仿宋_GB2312"/>
          <w:highlight w:val="none"/>
        </w:rPr>
      </w:pPr>
    </w:p>
    <w:p w14:paraId="7B2D46E2">
      <w:pPr>
        <w:pStyle w:val="26"/>
        <w:ind w:left="1200" w:firstLine="0" w:firstLineChars="0"/>
        <w:rPr>
          <w:rFonts w:ascii="仿宋_GB2312" w:hAnsi="仿宋_GB2312" w:eastAsia="仿宋_GB2312" w:cs="仿宋_GB2312"/>
          <w:highlight w:val="none"/>
        </w:rPr>
      </w:pPr>
    </w:p>
    <w:p w14:paraId="27F66A18">
      <w:pPr>
        <w:ind w:right="40" w:rightChars="19" w:firstLine="560"/>
        <w:jc w:val="both"/>
        <w:rPr>
          <w:sz w:val="28"/>
          <w:szCs w:val="28"/>
          <w:highlight w:val="none"/>
          <w:u w:val="single"/>
        </w:rPr>
      </w:pPr>
      <w:r>
        <w:rPr>
          <w:rFonts w:hint="eastAsia"/>
          <w:sz w:val="28"/>
          <w:szCs w:val="28"/>
          <w:highlight w:val="none"/>
        </w:rPr>
        <w:t>　　　　</w:t>
      </w:r>
      <w:r>
        <w:rPr>
          <w:rFonts w:hint="eastAsia"/>
          <w:sz w:val="28"/>
          <w:szCs w:val="28"/>
          <w:highlight w:val="none"/>
          <w:lang w:eastAsia="zh-CN"/>
        </w:rPr>
        <w:t>供</w:t>
      </w:r>
      <w:r>
        <w:rPr>
          <w:rFonts w:hint="eastAsia"/>
          <w:sz w:val="28"/>
          <w:szCs w:val="28"/>
          <w:highlight w:val="none"/>
          <w:lang w:val="en-US" w:eastAsia="zh-CN"/>
        </w:rPr>
        <w:t xml:space="preserve">  </w:t>
      </w:r>
      <w:r>
        <w:rPr>
          <w:rFonts w:hint="eastAsia"/>
          <w:sz w:val="28"/>
          <w:szCs w:val="28"/>
          <w:highlight w:val="none"/>
          <w:lang w:eastAsia="zh-CN"/>
        </w:rPr>
        <w:t>应</w:t>
      </w:r>
      <w:r>
        <w:rPr>
          <w:rFonts w:hint="eastAsia"/>
          <w:sz w:val="28"/>
          <w:szCs w:val="28"/>
          <w:highlight w:val="none"/>
          <w:lang w:val="en-US" w:eastAsia="zh-CN"/>
        </w:rPr>
        <w:t xml:space="preserve">  </w:t>
      </w:r>
      <w:r>
        <w:rPr>
          <w:rFonts w:hint="eastAsia"/>
          <w:sz w:val="28"/>
          <w:szCs w:val="28"/>
          <w:highlight w:val="none"/>
          <w:lang w:eastAsia="zh-CN"/>
        </w:rPr>
        <w:t>商</w:t>
      </w:r>
      <w:r>
        <w:rPr>
          <w:rFonts w:hint="eastAsia"/>
          <w:sz w:val="28"/>
          <w:szCs w:val="28"/>
          <w:highlight w:val="none"/>
        </w:rPr>
        <w:t>：</w:t>
      </w:r>
      <w:r>
        <w:rPr>
          <w:rFonts w:hint="eastAsia"/>
          <w:sz w:val="28"/>
          <w:szCs w:val="28"/>
          <w:highlight w:val="none"/>
          <w:u w:val="single"/>
        </w:rPr>
        <w:t>　　</w:t>
      </w:r>
      <w:r>
        <w:rPr>
          <w:rFonts w:hint="eastAsia"/>
          <w:sz w:val="28"/>
          <w:szCs w:val="28"/>
          <w:highlight w:val="none"/>
          <w:u w:val="single"/>
          <w:lang w:val="en-US" w:eastAsia="zh-CN"/>
        </w:rPr>
        <w:t xml:space="preserve">         </w:t>
      </w:r>
      <w:r>
        <w:rPr>
          <w:rFonts w:hint="eastAsia"/>
          <w:sz w:val="28"/>
          <w:szCs w:val="28"/>
          <w:highlight w:val="none"/>
          <w:u w:val="single"/>
        </w:rPr>
        <w:t>　　　　</w:t>
      </w:r>
      <w:r>
        <w:rPr>
          <w:rFonts w:hint="eastAsia"/>
          <w:sz w:val="28"/>
          <w:szCs w:val="28"/>
          <w:highlight w:val="none"/>
          <w:u w:val="single"/>
          <w:lang w:val="en-US" w:eastAsia="zh-CN"/>
        </w:rPr>
        <w:t xml:space="preserve">   </w:t>
      </w:r>
      <w:r>
        <w:rPr>
          <w:rFonts w:hint="eastAsia"/>
          <w:sz w:val="28"/>
          <w:szCs w:val="28"/>
          <w:highlight w:val="none"/>
          <w:u w:val="single"/>
        </w:rPr>
        <w:t>　（盖章）</w:t>
      </w:r>
    </w:p>
    <w:p w14:paraId="08A12CC7">
      <w:pPr>
        <w:ind w:right="40" w:rightChars="19" w:firstLine="560"/>
        <w:jc w:val="center"/>
        <w:rPr>
          <w:sz w:val="28"/>
          <w:szCs w:val="28"/>
          <w:highlight w:val="none"/>
        </w:rPr>
      </w:pPr>
    </w:p>
    <w:p w14:paraId="22C96657">
      <w:pPr>
        <w:ind w:right="40" w:rightChars="19" w:firstLine="1680" w:firstLineChars="600"/>
        <w:jc w:val="both"/>
        <w:rPr>
          <w:sz w:val="28"/>
          <w:szCs w:val="28"/>
          <w:highlight w:val="none"/>
        </w:rPr>
      </w:pPr>
      <w:r>
        <w:rPr>
          <w:rFonts w:hint="eastAsia"/>
          <w:sz w:val="28"/>
          <w:szCs w:val="28"/>
          <w:highlight w:val="none"/>
        </w:rPr>
        <w:t>法定代表人或其委托代理人：</w:t>
      </w:r>
      <w:r>
        <w:rPr>
          <w:rFonts w:hint="eastAsia"/>
          <w:sz w:val="28"/>
          <w:szCs w:val="28"/>
          <w:highlight w:val="none"/>
          <w:u w:val="single"/>
        </w:rPr>
        <w:t>　</w:t>
      </w:r>
      <w:r>
        <w:rPr>
          <w:rFonts w:hint="eastAsia"/>
          <w:sz w:val="28"/>
          <w:szCs w:val="28"/>
          <w:highlight w:val="none"/>
          <w:u w:val="single"/>
          <w:lang w:val="en-US" w:eastAsia="zh-CN"/>
        </w:rPr>
        <w:t xml:space="preserve">  </w:t>
      </w:r>
      <w:r>
        <w:rPr>
          <w:rFonts w:hint="eastAsia"/>
          <w:sz w:val="28"/>
          <w:szCs w:val="28"/>
          <w:highlight w:val="none"/>
          <w:u w:val="single"/>
        </w:rPr>
        <w:t>　（签字或盖章）</w:t>
      </w:r>
    </w:p>
    <w:p w14:paraId="79C411B7">
      <w:pPr>
        <w:spacing w:line="400" w:lineRule="atLeast"/>
        <w:ind w:firstLine="560"/>
        <w:jc w:val="center"/>
        <w:rPr>
          <w:sz w:val="28"/>
          <w:szCs w:val="28"/>
          <w:highlight w:val="none"/>
        </w:rPr>
      </w:pPr>
    </w:p>
    <w:p w14:paraId="723EB4E0">
      <w:pPr>
        <w:spacing w:line="400" w:lineRule="atLeast"/>
        <w:ind w:firstLine="560"/>
        <w:jc w:val="both"/>
        <w:rPr>
          <w:highlight w:val="none"/>
        </w:rPr>
        <w:sectPr>
          <w:headerReference r:id="rId10" w:type="default"/>
          <w:footerReference r:id="rId11" w:type="default"/>
          <w:pgSz w:w="11906" w:h="16838"/>
          <w:pgMar w:top="1440" w:right="1080" w:bottom="1440" w:left="1080" w:header="851" w:footer="851" w:gutter="0"/>
          <w:pgNumType w:fmt="decimal"/>
          <w:cols w:space="720" w:num="1"/>
          <w:docGrid w:linePitch="312" w:charSpace="0"/>
        </w:sectPr>
      </w:pPr>
      <w:r>
        <w:rPr>
          <w:rFonts w:hint="eastAsia"/>
          <w:sz w:val="28"/>
          <w:szCs w:val="28"/>
          <w:highlight w:val="none"/>
        </w:rPr>
        <w:t>　　　　　日　　期：</w:t>
      </w:r>
      <w:r>
        <w:rPr>
          <w:rFonts w:hint="eastAsia"/>
          <w:sz w:val="28"/>
          <w:szCs w:val="28"/>
          <w:highlight w:val="none"/>
          <w:u w:val="single"/>
        </w:rPr>
        <w:t>　　　</w:t>
      </w:r>
      <w:r>
        <w:rPr>
          <w:rFonts w:hint="eastAsia"/>
          <w:sz w:val="28"/>
          <w:szCs w:val="28"/>
          <w:highlight w:val="none"/>
        </w:rPr>
        <w:t>年</w:t>
      </w:r>
      <w:r>
        <w:rPr>
          <w:rFonts w:hint="eastAsia"/>
          <w:sz w:val="28"/>
          <w:szCs w:val="28"/>
          <w:highlight w:val="none"/>
          <w:u w:val="single"/>
        </w:rPr>
        <w:t>　　　</w:t>
      </w:r>
      <w:r>
        <w:rPr>
          <w:rFonts w:hint="eastAsia"/>
          <w:sz w:val="28"/>
          <w:szCs w:val="28"/>
          <w:highlight w:val="none"/>
        </w:rPr>
        <w:t>月</w:t>
      </w:r>
      <w:r>
        <w:rPr>
          <w:rFonts w:hint="eastAsia"/>
          <w:sz w:val="28"/>
          <w:szCs w:val="28"/>
          <w:highlight w:val="none"/>
          <w:u w:val="single"/>
        </w:rPr>
        <w:t>　　</w:t>
      </w:r>
      <w:r>
        <w:rPr>
          <w:rFonts w:hint="eastAsia"/>
          <w:sz w:val="28"/>
          <w:szCs w:val="28"/>
          <w:highlight w:val="none"/>
        </w:rPr>
        <w:t>日</w:t>
      </w:r>
    </w:p>
    <w:p w14:paraId="59963DF2">
      <w:pPr>
        <w:topLinePunct/>
        <w:spacing w:line="600" w:lineRule="exact"/>
        <w:ind w:firstLine="480"/>
        <w:jc w:val="center"/>
        <w:rPr>
          <w:rFonts w:hint="eastAsia" w:ascii="仿宋" w:hAnsi="仿宋" w:eastAsia="仿宋"/>
          <w:bCs/>
          <w:sz w:val="28"/>
          <w:szCs w:val="28"/>
          <w:highlight w:val="none"/>
          <w:lang w:eastAsia="zh-CN"/>
        </w:rPr>
      </w:pPr>
      <w:bookmarkStart w:id="71" w:name="_Toc30598"/>
      <w:bookmarkStart w:id="72" w:name="_Toc5034"/>
      <w:bookmarkStart w:id="73" w:name="_Toc8057"/>
      <w:bookmarkStart w:id="74" w:name="_Toc20511"/>
      <w:bookmarkStart w:id="75" w:name="_Toc360113102"/>
      <w:bookmarkStart w:id="76" w:name="_Toc22243"/>
      <w:bookmarkStart w:id="77" w:name="_Toc330225910"/>
      <w:r>
        <w:rPr>
          <w:rFonts w:hint="eastAsia" w:ascii="仿宋" w:hAnsi="仿宋" w:eastAsia="仿宋"/>
          <w:b/>
          <w:bCs/>
          <w:sz w:val="28"/>
          <w:szCs w:val="28"/>
          <w:highlight w:val="none"/>
          <w:lang w:val="en-US" w:eastAsia="zh-CN"/>
        </w:rPr>
        <w:t>1.</w:t>
      </w:r>
      <w:r>
        <w:rPr>
          <w:rFonts w:hint="eastAsia" w:ascii="仿宋" w:hAnsi="仿宋" w:eastAsia="仿宋"/>
          <w:b/>
          <w:bCs/>
          <w:sz w:val="28"/>
          <w:szCs w:val="28"/>
          <w:highlight w:val="none"/>
        </w:rPr>
        <w:t>法定代表人身份证明</w:t>
      </w:r>
      <w:bookmarkEnd w:id="71"/>
      <w:bookmarkEnd w:id="72"/>
      <w:bookmarkEnd w:id="73"/>
      <w:bookmarkEnd w:id="74"/>
      <w:bookmarkEnd w:id="75"/>
      <w:bookmarkEnd w:id="76"/>
      <w:bookmarkEnd w:id="77"/>
    </w:p>
    <w:p w14:paraId="0EEEAC82">
      <w:pPr>
        <w:topLinePunct/>
        <w:spacing w:line="600" w:lineRule="exact"/>
        <w:ind w:firstLine="480"/>
        <w:rPr>
          <w:rFonts w:ascii="仿宋" w:hAnsi="仿宋" w:eastAsia="仿宋"/>
          <w:bCs/>
          <w:sz w:val="28"/>
          <w:szCs w:val="28"/>
          <w:highlight w:val="none"/>
          <w:u w:val="single"/>
        </w:rPr>
      </w:pPr>
      <w:r>
        <w:rPr>
          <w:rFonts w:hint="eastAsia" w:ascii="仿宋" w:hAnsi="仿宋" w:eastAsia="仿宋"/>
          <w:bCs/>
          <w:sz w:val="28"/>
          <w:szCs w:val="28"/>
          <w:highlight w:val="none"/>
        </w:rPr>
        <w:t>报价供应商名称：</w:t>
      </w:r>
    </w:p>
    <w:p w14:paraId="4592B70A">
      <w:pPr>
        <w:topLinePunct/>
        <w:spacing w:line="600" w:lineRule="exact"/>
        <w:ind w:firstLine="480"/>
        <w:rPr>
          <w:rFonts w:ascii="仿宋" w:hAnsi="仿宋" w:eastAsia="仿宋"/>
          <w:bCs/>
          <w:sz w:val="28"/>
          <w:szCs w:val="28"/>
          <w:highlight w:val="none"/>
        </w:rPr>
      </w:pPr>
      <w:r>
        <w:rPr>
          <w:rFonts w:hint="eastAsia" w:ascii="仿宋" w:hAnsi="仿宋" w:eastAsia="仿宋"/>
          <w:bCs/>
          <w:sz w:val="28"/>
          <w:szCs w:val="28"/>
          <w:highlight w:val="none"/>
        </w:rPr>
        <w:t>报价供应商性质：</w:t>
      </w:r>
    </w:p>
    <w:p w14:paraId="7138CAB5">
      <w:pPr>
        <w:topLinePunct/>
        <w:spacing w:line="600" w:lineRule="exact"/>
        <w:ind w:firstLine="480"/>
        <w:rPr>
          <w:rFonts w:ascii="仿宋" w:hAnsi="仿宋" w:eastAsia="仿宋"/>
          <w:bCs/>
          <w:sz w:val="28"/>
          <w:szCs w:val="28"/>
          <w:highlight w:val="none"/>
        </w:rPr>
      </w:pPr>
      <w:r>
        <w:rPr>
          <w:rFonts w:hint="eastAsia" w:ascii="仿宋" w:hAnsi="仿宋" w:eastAsia="仿宋"/>
          <w:bCs/>
          <w:sz w:val="28"/>
          <w:szCs w:val="28"/>
          <w:highlight w:val="none"/>
        </w:rPr>
        <w:t>成立时间：</w:t>
      </w:r>
      <w:r>
        <w:rPr>
          <w:rFonts w:hint="eastAsia" w:ascii="仿宋" w:hAnsi="仿宋" w:eastAsia="仿宋"/>
          <w:bCs/>
          <w:sz w:val="28"/>
          <w:szCs w:val="28"/>
          <w:highlight w:val="none"/>
          <w:u w:val="single"/>
        </w:rPr>
        <w:t xml:space="preserve">  </w:t>
      </w:r>
      <w:r>
        <w:rPr>
          <w:rFonts w:hint="eastAsia" w:ascii="仿宋" w:hAnsi="仿宋" w:eastAsia="仿宋"/>
          <w:bCs/>
          <w:sz w:val="28"/>
          <w:szCs w:val="28"/>
          <w:highlight w:val="none"/>
        </w:rPr>
        <w:t>年</w:t>
      </w:r>
      <w:r>
        <w:rPr>
          <w:rFonts w:hint="eastAsia" w:ascii="仿宋" w:hAnsi="仿宋" w:eastAsia="仿宋"/>
          <w:bCs/>
          <w:sz w:val="28"/>
          <w:szCs w:val="28"/>
          <w:highlight w:val="none"/>
          <w:u w:val="single"/>
        </w:rPr>
        <w:t xml:space="preserve">  </w:t>
      </w:r>
      <w:r>
        <w:rPr>
          <w:rFonts w:hint="eastAsia" w:ascii="仿宋" w:hAnsi="仿宋" w:eastAsia="仿宋"/>
          <w:bCs/>
          <w:sz w:val="28"/>
          <w:szCs w:val="28"/>
          <w:highlight w:val="none"/>
        </w:rPr>
        <w:t>月</w:t>
      </w:r>
      <w:r>
        <w:rPr>
          <w:rFonts w:hint="eastAsia" w:ascii="仿宋" w:hAnsi="仿宋" w:eastAsia="仿宋"/>
          <w:bCs/>
          <w:sz w:val="28"/>
          <w:szCs w:val="28"/>
          <w:highlight w:val="none"/>
          <w:u w:val="single"/>
        </w:rPr>
        <w:t xml:space="preserve">  </w:t>
      </w:r>
      <w:r>
        <w:rPr>
          <w:rFonts w:hint="eastAsia" w:ascii="仿宋" w:hAnsi="仿宋" w:eastAsia="仿宋"/>
          <w:bCs/>
          <w:sz w:val="28"/>
          <w:szCs w:val="28"/>
          <w:highlight w:val="none"/>
        </w:rPr>
        <w:t>日</w:t>
      </w:r>
    </w:p>
    <w:p w14:paraId="1CC46176">
      <w:pPr>
        <w:topLinePunct/>
        <w:spacing w:line="600" w:lineRule="exact"/>
        <w:ind w:firstLine="480"/>
        <w:rPr>
          <w:rFonts w:ascii="仿宋" w:hAnsi="仿宋" w:eastAsia="仿宋"/>
          <w:bCs/>
          <w:sz w:val="28"/>
          <w:szCs w:val="28"/>
          <w:highlight w:val="none"/>
        </w:rPr>
      </w:pPr>
      <w:r>
        <w:rPr>
          <w:rFonts w:hint="eastAsia" w:ascii="仿宋" w:hAnsi="仿宋" w:eastAsia="仿宋"/>
          <w:bCs/>
          <w:sz w:val="28"/>
          <w:szCs w:val="28"/>
          <w:highlight w:val="none"/>
        </w:rPr>
        <w:t>经营期限：</w:t>
      </w:r>
    </w:p>
    <w:p w14:paraId="412147E2">
      <w:pPr>
        <w:topLinePunct/>
        <w:spacing w:line="600" w:lineRule="exact"/>
        <w:ind w:firstLine="480"/>
        <w:rPr>
          <w:rFonts w:ascii="仿宋" w:hAnsi="仿宋" w:eastAsia="仿宋"/>
          <w:bCs/>
          <w:sz w:val="28"/>
          <w:szCs w:val="28"/>
          <w:highlight w:val="none"/>
          <w:u w:val="single"/>
        </w:rPr>
      </w:pPr>
      <w:r>
        <w:rPr>
          <w:rFonts w:hint="eastAsia" w:ascii="仿宋" w:hAnsi="仿宋" w:eastAsia="仿宋"/>
          <w:bCs/>
          <w:sz w:val="28"/>
          <w:szCs w:val="28"/>
          <w:highlight w:val="none"/>
        </w:rPr>
        <w:t>姓名：</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性别：</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年龄：</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职务：</w:t>
      </w:r>
    </w:p>
    <w:p w14:paraId="32399E92">
      <w:pPr>
        <w:topLinePunct/>
        <w:spacing w:line="600" w:lineRule="exact"/>
        <w:ind w:firstLine="480"/>
        <w:rPr>
          <w:rFonts w:ascii="仿宋" w:hAnsi="仿宋" w:eastAsia="仿宋"/>
          <w:bCs/>
          <w:sz w:val="28"/>
          <w:szCs w:val="28"/>
          <w:highlight w:val="none"/>
        </w:rPr>
      </w:pPr>
      <w:r>
        <w:rPr>
          <w:rFonts w:hint="eastAsia" w:ascii="仿宋" w:hAnsi="仿宋" w:eastAsia="仿宋"/>
          <w:bCs/>
          <w:sz w:val="28"/>
          <w:szCs w:val="28"/>
          <w:highlight w:val="none"/>
        </w:rPr>
        <w:t>系（报价供应商名称）的法定代表人。</w:t>
      </w:r>
    </w:p>
    <w:p w14:paraId="7C1BEB43">
      <w:pPr>
        <w:topLinePunct/>
        <w:spacing w:line="600" w:lineRule="exact"/>
        <w:ind w:firstLine="480"/>
        <w:rPr>
          <w:rFonts w:hint="eastAsia" w:ascii="仿宋" w:hAnsi="仿宋" w:eastAsia="仿宋"/>
          <w:bCs/>
          <w:sz w:val="28"/>
          <w:szCs w:val="28"/>
          <w:highlight w:val="none"/>
        </w:rPr>
      </w:pPr>
      <w:r>
        <w:rPr>
          <w:rFonts w:hint="eastAsia" w:ascii="仿宋" w:hAnsi="仿宋" w:eastAsia="仿宋"/>
          <w:bCs/>
          <w:sz w:val="28"/>
          <w:szCs w:val="28"/>
          <w:highlight w:val="none"/>
        </w:rPr>
        <w:t>特此证明。</w:t>
      </w:r>
    </w:p>
    <w:p w14:paraId="404F3500">
      <w:pPr>
        <w:pStyle w:val="11"/>
        <w:jc w:val="center"/>
        <w:rPr>
          <w:rFonts w:hint="eastAsia" w:eastAsia="仿宋"/>
          <w:sz w:val="28"/>
          <w:szCs w:val="28"/>
          <w:highlight w:val="none"/>
          <w:lang w:eastAsia="zh-CN"/>
        </w:rPr>
      </w:pPr>
      <w:r>
        <w:rPr>
          <w:rFonts w:hint="eastAsia" w:ascii="仿宋" w:hAnsi="仿宋" w:eastAsia="仿宋"/>
          <w:bCs/>
          <w:sz w:val="28"/>
          <w:szCs w:val="28"/>
          <w:highlight w:val="none"/>
          <w:lang w:eastAsia="zh-CN"/>
        </w:rPr>
        <w:t>身份证复印件粘贴处</w:t>
      </w:r>
    </w:p>
    <w:tbl>
      <w:tblPr>
        <w:tblStyle w:val="17"/>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4386"/>
      </w:tblGrid>
      <w:tr w14:paraId="2B8F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6" w:hRule="atLeast"/>
          <w:jc w:val="center"/>
        </w:trPr>
        <w:tc>
          <w:tcPr>
            <w:tcW w:w="4386" w:type="dxa"/>
            <w:vAlign w:val="center"/>
          </w:tcPr>
          <w:p w14:paraId="20A81096">
            <w:pPr>
              <w:widowControl w:val="0"/>
              <w:spacing w:line="360" w:lineRule="auto"/>
              <w:jc w:val="center"/>
              <w:rPr>
                <w:rFonts w:ascii="仿宋" w:hAnsi="仿宋" w:eastAsia="仿宋"/>
                <w:sz w:val="28"/>
                <w:szCs w:val="28"/>
                <w:highlight w:val="none"/>
              </w:rPr>
            </w:pPr>
          </w:p>
        </w:tc>
        <w:tc>
          <w:tcPr>
            <w:tcW w:w="4386" w:type="dxa"/>
            <w:vAlign w:val="center"/>
          </w:tcPr>
          <w:p w14:paraId="5A2D2066">
            <w:pPr>
              <w:widowControl w:val="0"/>
              <w:spacing w:line="360" w:lineRule="auto"/>
              <w:jc w:val="center"/>
              <w:rPr>
                <w:rFonts w:ascii="仿宋" w:hAnsi="仿宋" w:eastAsia="仿宋"/>
                <w:sz w:val="28"/>
                <w:szCs w:val="28"/>
                <w:highlight w:val="none"/>
              </w:rPr>
            </w:pPr>
          </w:p>
        </w:tc>
      </w:tr>
    </w:tbl>
    <w:p w14:paraId="008C1176">
      <w:pPr>
        <w:topLinePunct/>
        <w:spacing w:line="440" w:lineRule="exact"/>
        <w:ind w:firstLine="480"/>
        <w:rPr>
          <w:rFonts w:ascii="仿宋" w:hAnsi="仿宋" w:eastAsia="仿宋"/>
          <w:bCs/>
          <w:sz w:val="28"/>
          <w:szCs w:val="28"/>
          <w:highlight w:val="none"/>
        </w:rPr>
      </w:pPr>
    </w:p>
    <w:p w14:paraId="45DC5485">
      <w:pPr>
        <w:topLinePunct/>
        <w:spacing w:line="440" w:lineRule="exact"/>
        <w:ind w:firstLine="480"/>
        <w:rPr>
          <w:rFonts w:ascii="仿宋" w:hAnsi="仿宋" w:eastAsia="仿宋"/>
          <w:bCs/>
          <w:sz w:val="28"/>
          <w:szCs w:val="28"/>
          <w:highlight w:val="none"/>
        </w:rPr>
      </w:pPr>
    </w:p>
    <w:p w14:paraId="34FF839B">
      <w:pPr>
        <w:topLinePunct/>
        <w:spacing w:line="480" w:lineRule="auto"/>
        <w:ind w:firstLine="480"/>
        <w:rPr>
          <w:rFonts w:ascii="仿宋" w:hAnsi="仿宋" w:eastAsia="仿宋"/>
          <w:bCs/>
          <w:sz w:val="28"/>
          <w:szCs w:val="28"/>
          <w:highlight w:val="none"/>
        </w:rPr>
      </w:pPr>
      <w:r>
        <w:rPr>
          <w:rFonts w:hint="eastAsia" w:ascii="仿宋" w:hAnsi="仿宋" w:eastAsia="仿宋"/>
          <w:bCs/>
          <w:sz w:val="28"/>
          <w:szCs w:val="28"/>
          <w:highlight w:val="none"/>
          <w:lang w:eastAsia="zh-CN"/>
        </w:rPr>
        <w:t>报价</w:t>
      </w:r>
      <w:r>
        <w:rPr>
          <w:rFonts w:hint="eastAsia" w:ascii="仿宋" w:hAnsi="仿宋" w:eastAsia="仿宋"/>
          <w:bCs/>
          <w:sz w:val="28"/>
          <w:szCs w:val="28"/>
          <w:highlight w:val="none"/>
        </w:rPr>
        <w:t>供应商：（盖单位</w:t>
      </w:r>
      <w:r>
        <w:rPr>
          <w:rFonts w:hint="eastAsia" w:ascii="仿宋" w:hAnsi="仿宋" w:eastAsia="仿宋"/>
          <w:bCs/>
          <w:sz w:val="28"/>
          <w:szCs w:val="28"/>
          <w:highlight w:val="none"/>
          <w:lang w:eastAsia="zh-CN"/>
        </w:rPr>
        <w:t>公</w:t>
      </w:r>
      <w:r>
        <w:rPr>
          <w:rFonts w:hint="eastAsia" w:ascii="仿宋" w:hAnsi="仿宋" w:eastAsia="仿宋"/>
          <w:bCs/>
          <w:sz w:val="28"/>
          <w:szCs w:val="28"/>
          <w:highlight w:val="none"/>
        </w:rPr>
        <w:t>章）</w:t>
      </w:r>
    </w:p>
    <w:p w14:paraId="41F5E6EC">
      <w:pPr>
        <w:topLinePunct/>
        <w:spacing w:line="480" w:lineRule="auto"/>
        <w:ind w:firstLineChars="175"/>
        <w:rPr>
          <w:rFonts w:ascii="仿宋" w:hAnsi="仿宋" w:eastAsia="仿宋"/>
          <w:bCs/>
          <w:sz w:val="28"/>
          <w:szCs w:val="28"/>
          <w:highlight w:val="none"/>
        </w:rPr>
      </w:pPr>
      <w:r>
        <w:rPr>
          <w:rFonts w:hint="eastAsia" w:ascii="仿宋" w:hAnsi="仿宋" w:eastAsia="仿宋"/>
          <w:bCs/>
          <w:sz w:val="28"/>
          <w:szCs w:val="28"/>
          <w:highlight w:val="none"/>
        </w:rPr>
        <w:t>法定代表人：（盖章或签字）</w:t>
      </w:r>
    </w:p>
    <w:p w14:paraId="73EE4AEB">
      <w:pPr>
        <w:topLinePunct/>
        <w:spacing w:line="480" w:lineRule="auto"/>
        <w:ind w:firstLine="480"/>
        <w:rPr>
          <w:rFonts w:ascii="仿宋" w:hAnsi="仿宋" w:eastAsia="仿宋"/>
          <w:bCs/>
          <w:sz w:val="28"/>
          <w:szCs w:val="28"/>
          <w:highlight w:val="none"/>
        </w:rPr>
      </w:pPr>
      <w:r>
        <w:rPr>
          <w:rFonts w:hint="eastAsia" w:ascii="仿宋" w:hAnsi="仿宋" w:eastAsia="仿宋"/>
          <w:bCs/>
          <w:sz w:val="28"/>
          <w:szCs w:val="28"/>
          <w:highlight w:val="none"/>
          <w:lang w:eastAsia="zh-CN"/>
        </w:rPr>
        <w:t>日</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lang w:eastAsia="zh-CN"/>
        </w:rPr>
        <w:t>期：</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年</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月</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日</w:t>
      </w:r>
    </w:p>
    <w:p w14:paraId="574181BF">
      <w:pPr>
        <w:widowControl w:val="0"/>
        <w:spacing w:line="240" w:lineRule="auto"/>
        <w:ind w:left="0" w:leftChars="0" w:firstLine="0" w:firstLineChars="0"/>
        <w:jc w:val="center"/>
        <w:outlineLvl w:val="1"/>
        <w:rPr>
          <w:rFonts w:ascii="仿宋" w:hAnsi="仿宋" w:eastAsia="仿宋"/>
          <w:b/>
          <w:color w:val="000000"/>
          <w:sz w:val="28"/>
          <w:szCs w:val="28"/>
          <w:highlight w:val="none"/>
        </w:rPr>
      </w:pPr>
      <w:r>
        <w:rPr>
          <w:rFonts w:ascii="仿宋" w:hAnsi="仿宋" w:eastAsia="仿宋"/>
          <w:sz w:val="28"/>
          <w:szCs w:val="28"/>
          <w:highlight w:val="none"/>
        </w:rPr>
        <w:br w:type="page"/>
      </w:r>
      <w:bookmarkStart w:id="78" w:name="_Toc360113100"/>
      <w:bookmarkStart w:id="79" w:name="_Toc8519"/>
      <w:bookmarkStart w:id="80" w:name="_Toc9343238"/>
      <w:bookmarkStart w:id="81" w:name="_Toc20843"/>
      <w:bookmarkStart w:id="82" w:name="_Toc7797"/>
      <w:bookmarkStart w:id="83" w:name="_Toc480983369"/>
      <w:bookmarkStart w:id="84" w:name="_Toc18088"/>
      <w:bookmarkStart w:id="85" w:name="_Toc24340"/>
      <w:bookmarkStart w:id="86" w:name="_Toc14855"/>
      <w:bookmarkStart w:id="87" w:name="_Toc152047264"/>
      <w:bookmarkStart w:id="88" w:name="_Toc144974468"/>
      <w:bookmarkStart w:id="89" w:name="_Toc9342900"/>
      <w:bookmarkStart w:id="90" w:name="_Toc330225908"/>
      <w:r>
        <w:rPr>
          <w:rFonts w:hint="eastAsia" w:ascii="仿宋" w:hAnsi="仿宋" w:eastAsia="仿宋"/>
          <w:sz w:val="28"/>
          <w:szCs w:val="28"/>
          <w:highlight w:val="none"/>
          <w:lang w:val="en-US" w:eastAsia="zh-CN"/>
        </w:rPr>
        <w:t>2.</w:t>
      </w:r>
      <w:r>
        <w:rPr>
          <w:rFonts w:hint="eastAsia" w:ascii="仿宋" w:hAnsi="仿宋" w:eastAsia="仿宋" w:cs="仿宋_GB2312"/>
          <w:b/>
          <w:bCs/>
          <w:sz w:val="28"/>
          <w:szCs w:val="28"/>
          <w:highlight w:val="none"/>
        </w:rPr>
        <w:t>法定代表人授权委托书</w:t>
      </w:r>
      <w:bookmarkEnd w:id="78"/>
      <w:bookmarkEnd w:id="79"/>
      <w:bookmarkEnd w:id="80"/>
      <w:bookmarkEnd w:id="81"/>
      <w:bookmarkEnd w:id="82"/>
      <w:bookmarkEnd w:id="83"/>
      <w:bookmarkEnd w:id="84"/>
      <w:bookmarkEnd w:id="85"/>
      <w:bookmarkEnd w:id="86"/>
      <w:bookmarkEnd w:id="87"/>
      <w:bookmarkEnd w:id="88"/>
      <w:bookmarkEnd w:id="89"/>
      <w:bookmarkEnd w:id="90"/>
    </w:p>
    <w:p w14:paraId="1331A829">
      <w:pPr>
        <w:spacing w:line="400" w:lineRule="exact"/>
        <w:ind w:firstLine="480"/>
        <w:rPr>
          <w:rFonts w:ascii="仿宋" w:hAnsi="仿宋" w:eastAsia="仿宋"/>
          <w:sz w:val="28"/>
          <w:szCs w:val="28"/>
          <w:highlight w:val="none"/>
        </w:rPr>
      </w:pPr>
    </w:p>
    <w:p w14:paraId="5226937B">
      <w:pPr>
        <w:topLinePunct/>
        <w:spacing w:line="440" w:lineRule="exact"/>
        <w:ind w:firstLine="480"/>
        <w:rPr>
          <w:rFonts w:ascii="仿宋" w:hAnsi="仿宋" w:eastAsia="仿宋"/>
          <w:sz w:val="28"/>
          <w:szCs w:val="28"/>
          <w:highlight w:val="none"/>
        </w:rPr>
      </w:pPr>
      <w:r>
        <w:rPr>
          <w:rFonts w:hint="eastAsia" w:ascii="仿宋" w:hAnsi="仿宋" w:eastAsia="仿宋"/>
          <w:sz w:val="28"/>
          <w:szCs w:val="28"/>
          <w:highlight w:val="none"/>
        </w:rPr>
        <w:t>本人</w:t>
      </w:r>
      <w:r>
        <w:rPr>
          <w:rFonts w:hint="eastAsia" w:ascii="仿宋" w:hAnsi="仿宋" w:eastAsia="仿宋"/>
          <w:sz w:val="28"/>
          <w:szCs w:val="28"/>
          <w:highlight w:val="none"/>
          <w:u w:val="single"/>
        </w:rPr>
        <w:t>（姓名）</w:t>
      </w:r>
      <w:r>
        <w:rPr>
          <w:rFonts w:hint="eastAsia" w:ascii="仿宋" w:hAnsi="仿宋" w:eastAsia="仿宋"/>
          <w:sz w:val="28"/>
          <w:szCs w:val="28"/>
          <w:highlight w:val="none"/>
        </w:rPr>
        <w:t>系</w:t>
      </w:r>
      <w:r>
        <w:rPr>
          <w:rFonts w:hint="eastAsia" w:ascii="仿宋" w:hAnsi="仿宋" w:eastAsia="仿宋"/>
          <w:sz w:val="28"/>
          <w:szCs w:val="28"/>
          <w:highlight w:val="none"/>
          <w:u w:val="single"/>
        </w:rPr>
        <w:t>（</w:t>
      </w:r>
      <w:r>
        <w:rPr>
          <w:rFonts w:hint="eastAsia" w:ascii="仿宋" w:hAnsi="仿宋" w:eastAsia="仿宋"/>
          <w:bCs/>
          <w:sz w:val="28"/>
          <w:szCs w:val="28"/>
          <w:highlight w:val="none"/>
        </w:rPr>
        <w:t>报价供应商</w:t>
      </w:r>
      <w:r>
        <w:rPr>
          <w:rFonts w:hint="eastAsia" w:ascii="仿宋" w:hAnsi="仿宋" w:eastAsia="仿宋"/>
          <w:sz w:val="28"/>
          <w:szCs w:val="28"/>
          <w:highlight w:val="none"/>
          <w:u w:val="single"/>
        </w:rPr>
        <w:t>名称）</w:t>
      </w:r>
      <w:r>
        <w:rPr>
          <w:rFonts w:hint="eastAsia" w:ascii="仿宋" w:hAnsi="仿宋" w:eastAsia="仿宋"/>
          <w:sz w:val="28"/>
          <w:szCs w:val="28"/>
          <w:highlight w:val="none"/>
        </w:rPr>
        <w:t>的法定代表人，现委托</w:t>
      </w:r>
      <w:r>
        <w:rPr>
          <w:rFonts w:hint="eastAsia" w:ascii="仿宋" w:hAnsi="仿宋" w:eastAsia="仿宋"/>
          <w:sz w:val="28"/>
          <w:szCs w:val="28"/>
          <w:highlight w:val="none"/>
          <w:u w:val="single"/>
        </w:rPr>
        <w:t>（姓名）</w:t>
      </w:r>
      <w:r>
        <w:rPr>
          <w:rFonts w:hint="eastAsia" w:ascii="仿宋" w:hAnsi="仿宋" w:eastAsia="仿宋"/>
          <w:sz w:val="28"/>
          <w:szCs w:val="28"/>
          <w:highlight w:val="none"/>
        </w:rPr>
        <w:t>为我方代理人</w:t>
      </w:r>
      <w:r>
        <w:rPr>
          <w:rFonts w:hint="eastAsia" w:ascii="仿宋" w:hAnsi="仿宋" w:eastAsia="仿宋"/>
          <w:sz w:val="28"/>
          <w:szCs w:val="28"/>
          <w:highlight w:val="none"/>
          <w:lang w:eastAsia="zh-CN"/>
        </w:rPr>
        <w:t>，参加</w:t>
      </w:r>
      <w:r>
        <w:rPr>
          <w:rFonts w:hint="eastAsia" w:ascii="仿宋" w:hAnsi="仿宋" w:eastAsia="仿宋"/>
          <w:sz w:val="28"/>
          <w:szCs w:val="28"/>
          <w:highlight w:val="none"/>
          <w:u w:val="single"/>
          <w:lang w:val="en-US" w:eastAsia="zh-CN"/>
        </w:rPr>
        <w:t xml:space="preserve">  （项目名称）        </w:t>
      </w:r>
      <w:r>
        <w:rPr>
          <w:rFonts w:hint="eastAsia" w:ascii="仿宋" w:hAnsi="仿宋" w:eastAsia="仿宋"/>
          <w:sz w:val="28"/>
          <w:szCs w:val="28"/>
          <w:highlight w:val="none"/>
          <w:u w:val="none"/>
          <w:lang w:val="en-US" w:eastAsia="zh-CN"/>
        </w:rPr>
        <w:t>的采购活动</w:t>
      </w:r>
      <w:r>
        <w:rPr>
          <w:rFonts w:hint="eastAsia" w:ascii="仿宋" w:hAnsi="仿宋" w:eastAsia="仿宋"/>
          <w:sz w:val="28"/>
          <w:szCs w:val="28"/>
          <w:highlight w:val="none"/>
          <w:lang w:eastAsia="zh-CN"/>
        </w:rPr>
        <w:t>。并在此项目采购过程中签署一切相关文件和处理与之有关的一切事务，</w:t>
      </w:r>
      <w:r>
        <w:rPr>
          <w:rFonts w:hint="eastAsia" w:ascii="仿宋" w:hAnsi="仿宋" w:eastAsia="仿宋"/>
          <w:sz w:val="28"/>
          <w:szCs w:val="28"/>
          <w:highlight w:val="none"/>
        </w:rPr>
        <w:t>其法律后果由我方承担。</w:t>
      </w:r>
    </w:p>
    <w:p w14:paraId="2ABF05BD">
      <w:pPr>
        <w:topLinePunct/>
        <w:spacing w:line="440" w:lineRule="exact"/>
        <w:ind w:firstLine="480"/>
        <w:rPr>
          <w:rFonts w:ascii="仿宋" w:hAnsi="仿宋" w:eastAsia="仿宋"/>
          <w:sz w:val="28"/>
          <w:szCs w:val="28"/>
          <w:highlight w:val="none"/>
          <w:u w:val="single"/>
        </w:rPr>
      </w:pPr>
      <w:r>
        <w:rPr>
          <w:rFonts w:hint="eastAsia" w:ascii="仿宋" w:hAnsi="仿宋" w:eastAsia="仿宋"/>
          <w:sz w:val="28"/>
          <w:szCs w:val="28"/>
          <w:highlight w:val="none"/>
        </w:rPr>
        <w:t>委托期限：</w:t>
      </w:r>
      <w:r>
        <w:rPr>
          <w:rFonts w:ascii="仿宋" w:hAnsi="仿宋" w:eastAsia="仿宋"/>
          <w:sz w:val="28"/>
          <w:szCs w:val="28"/>
          <w:highlight w:val="none"/>
          <w:u w:val="single"/>
        </w:rPr>
        <w:t xml:space="preserve"> 90</w:t>
      </w:r>
      <w:r>
        <w:rPr>
          <w:rFonts w:hint="eastAsia" w:ascii="仿宋" w:hAnsi="仿宋" w:eastAsia="仿宋"/>
          <w:sz w:val="28"/>
          <w:szCs w:val="28"/>
          <w:highlight w:val="none"/>
          <w:u w:val="single"/>
        </w:rPr>
        <w:t>日历天</w:t>
      </w:r>
      <w:r>
        <w:rPr>
          <w:rFonts w:hint="eastAsia" w:ascii="仿宋" w:hAnsi="仿宋" w:eastAsia="仿宋"/>
          <w:sz w:val="28"/>
          <w:szCs w:val="28"/>
          <w:highlight w:val="none"/>
        </w:rPr>
        <w:t>。</w:t>
      </w:r>
    </w:p>
    <w:p w14:paraId="60C8A887">
      <w:pPr>
        <w:topLinePunct/>
        <w:spacing w:line="440" w:lineRule="exact"/>
        <w:ind w:firstLine="480"/>
        <w:rPr>
          <w:rFonts w:ascii="仿宋" w:hAnsi="仿宋" w:eastAsia="仿宋"/>
          <w:sz w:val="28"/>
          <w:szCs w:val="28"/>
          <w:highlight w:val="none"/>
        </w:rPr>
      </w:pPr>
      <w:r>
        <w:rPr>
          <w:rFonts w:hint="eastAsia" w:ascii="仿宋" w:hAnsi="仿宋" w:eastAsia="仿宋"/>
          <w:sz w:val="28"/>
          <w:szCs w:val="28"/>
          <w:highlight w:val="none"/>
        </w:rPr>
        <w:t>代理人无转委托权。</w:t>
      </w:r>
    </w:p>
    <w:p w14:paraId="41C22ED7">
      <w:pPr>
        <w:topLinePunct/>
        <w:spacing w:line="440" w:lineRule="exact"/>
        <w:ind w:firstLine="480"/>
        <w:rPr>
          <w:rFonts w:ascii="仿宋" w:hAnsi="仿宋" w:eastAsia="仿宋"/>
          <w:sz w:val="28"/>
          <w:szCs w:val="28"/>
          <w:highlight w:val="none"/>
        </w:rPr>
      </w:pPr>
      <w:r>
        <w:rPr>
          <w:rFonts w:hint="eastAsia" w:ascii="仿宋" w:hAnsi="仿宋" w:eastAsia="仿宋"/>
          <w:sz w:val="28"/>
          <w:szCs w:val="28"/>
          <w:highlight w:val="none"/>
        </w:rPr>
        <w:t>附：法定代表人身份证及被授权人身份证复印件</w:t>
      </w:r>
    </w:p>
    <w:p w14:paraId="4B768365">
      <w:pPr>
        <w:topLinePunct/>
        <w:spacing w:line="440" w:lineRule="exact"/>
        <w:ind w:firstLine="480"/>
        <w:rPr>
          <w:rFonts w:ascii="仿宋" w:hAnsi="仿宋" w:eastAsia="仿宋"/>
          <w:sz w:val="24"/>
          <w:highlight w:val="none"/>
        </w:rPr>
      </w:pPr>
    </w:p>
    <w:tbl>
      <w:tblPr>
        <w:tblStyle w:val="17"/>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4386"/>
      </w:tblGrid>
      <w:tr w14:paraId="19C9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jc w:val="center"/>
        </w:trPr>
        <w:tc>
          <w:tcPr>
            <w:tcW w:w="4386" w:type="dxa"/>
            <w:vAlign w:val="center"/>
          </w:tcPr>
          <w:p w14:paraId="3F456EB5">
            <w:pPr>
              <w:widowControl w:val="0"/>
              <w:spacing w:line="360" w:lineRule="auto"/>
              <w:jc w:val="center"/>
              <w:rPr>
                <w:rFonts w:ascii="仿宋" w:hAnsi="仿宋" w:eastAsia="仿宋"/>
                <w:highlight w:val="none"/>
              </w:rPr>
            </w:pPr>
            <w:bookmarkStart w:id="91" w:name="_Hlk10043326"/>
          </w:p>
        </w:tc>
        <w:tc>
          <w:tcPr>
            <w:tcW w:w="4386" w:type="dxa"/>
            <w:vAlign w:val="center"/>
          </w:tcPr>
          <w:p w14:paraId="1EE0535A">
            <w:pPr>
              <w:widowControl w:val="0"/>
              <w:spacing w:line="360" w:lineRule="auto"/>
              <w:jc w:val="center"/>
              <w:rPr>
                <w:rFonts w:ascii="仿宋" w:hAnsi="仿宋" w:eastAsia="仿宋"/>
                <w:highlight w:val="none"/>
              </w:rPr>
            </w:pPr>
          </w:p>
        </w:tc>
      </w:tr>
      <w:tr w14:paraId="4BA6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4386" w:type="dxa"/>
            <w:vAlign w:val="center"/>
          </w:tcPr>
          <w:p w14:paraId="16DB0BC5">
            <w:pPr>
              <w:widowControl w:val="0"/>
              <w:spacing w:line="360" w:lineRule="auto"/>
              <w:jc w:val="center"/>
              <w:rPr>
                <w:rFonts w:ascii="仿宋" w:hAnsi="仿宋" w:eastAsia="仿宋"/>
                <w:highlight w:val="none"/>
              </w:rPr>
            </w:pPr>
          </w:p>
        </w:tc>
        <w:tc>
          <w:tcPr>
            <w:tcW w:w="4386" w:type="dxa"/>
            <w:vAlign w:val="center"/>
          </w:tcPr>
          <w:p w14:paraId="31CB9B13">
            <w:pPr>
              <w:widowControl w:val="0"/>
              <w:spacing w:line="360" w:lineRule="auto"/>
              <w:jc w:val="center"/>
              <w:rPr>
                <w:rFonts w:ascii="仿宋" w:hAnsi="仿宋" w:eastAsia="仿宋"/>
                <w:highlight w:val="none"/>
              </w:rPr>
            </w:pPr>
          </w:p>
        </w:tc>
      </w:tr>
      <w:bookmarkEnd w:id="91"/>
    </w:tbl>
    <w:p w14:paraId="3025A89A">
      <w:pPr>
        <w:topLinePunct/>
        <w:spacing w:line="360" w:lineRule="auto"/>
        <w:rPr>
          <w:rFonts w:hint="eastAsia" w:ascii="仿宋" w:hAnsi="仿宋" w:eastAsia="仿宋" w:cs="仿宋_GB2312"/>
          <w:sz w:val="24"/>
          <w:highlight w:val="none"/>
          <w:lang w:eastAsia="zh-CN"/>
        </w:rPr>
      </w:pPr>
      <w:r>
        <w:rPr>
          <w:rFonts w:hint="eastAsia" w:ascii="仿宋" w:hAnsi="仿宋" w:eastAsia="仿宋" w:cs="仿宋_GB2312"/>
          <w:sz w:val="24"/>
          <w:highlight w:val="none"/>
          <w:lang w:eastAsia="zh-CN"/>
        </w:rPr>
        <w:t>（仅</w:t>
      </w:r>
      <w:r>
        <w:rPr>
          <w:rFonts w:hint="eastAsia" w:ascii="仿宋" w:hAnsi="仿宋" w:eastAsia="仿宋" w:cs="仿宋_GB2312"/>
          <w:sz w:val="24"/>
          <w:highlight w:val="none"/>
        </w:rPr>
        <w:t>委托代理人</w:t>
      </w:r>
      <w:r>
        <w:rPr>
          <w:rFonts w:hint="eastAsia" w:ascii="仿宋" w:hAnsi="仿宋" w:eastAsia="仿宋" w:cs="仿宋_GB2312"/>
          <w:sz w:val="24"/>
          <w:highlight w:val="none"/>
          <w:lang w:eastAsia="zh-CN"/>
        </w:rPr>
        <w:t>报价时提供）</w:t>
      </w:r>
    </w:p>
    <w:p w14:paraId="5CD27311">
      <w:pPr>
        <w:topLinePunct/>
        <w:spacing w:line="360" w:lineRule="auto"/>
        <w:ind w:firstLine="3360" w:firstLineChars="1400"/>
        <w:rPr>
          <w:rFonts w:ascii="仿宋" w:hAnsi="仿宋" w:eastAsia="仿宋" w:cs="仿宋_GB2312"/>
          <w:sz w:val="24"/>
          <w:highlight w:val="none"/>
        </w:rPr>
      </w:pPr>
    </w:p>
    <w:p w14:paraId="76B1CE23">
      <w:pPr>
        <w:topLinePunct/>
        <w:spacing w:line="360" w:lineRule="auto"/>
        <w:ind w:firstLineChars="175"/>
        <w:jc w:val="both"/>
        <w:rPr>
          <w:rFonts w:ascii="仿宋" w:hAnsi="仿宋" w:eastAsia="仿宋" w:cs="仿宋_GB2312"/>
          <w:sz w:val="24"/>
          <w:highlight w:val="none"/>
        </w:rPr>
      </w:pPr>
      <w:r>
        <w:rPr>
          <w:rFonts w:hint="eastAsia" w:ascii="仿宋" w:hAnsi="仿宋" w:eastAsia="仿宋" w:cs="仿宋_GB2312"/>
          <w:sz w:val="24"/>
          <w:highlight w:val="none"/>
          <w:lang w:val="en-US" w:eastAsia="zh-CN"/>
        </w:rPr>
        <w:t>报价供应商</w:t>
      </w:r>
      <w:r>
        <w:rPr>
          <w:rFonts w:hint="eastAsia" w:ascii="仿宋" w:hAnsi="仿宋" w:eastAsia="仿宋" w:cs="仿宋_GB2312"/>
          <w:sz w:val="24"/>
          <w:highlight w:val="none"/>
        </w:rPr>
        <w:t>：（盖单位</w:t>
      </w:r>
      <w:r>
        <w:rPr>
          <w:rFonts w:hint="eastAsia" w:ascii="仿宋" w:hAnsi="仿宋" w:eastAsia="仿宋" w:cs="仿宋_GB2312"/>
          <w:sz w:val="24"/>
          <w:highlight w:val="none"/>
          <w:lang w:eastAsia="zh-CN"/>
        </w:rPr>
        <w:t>公</w:t>
      </w:r>
      <w:r>
        <w:rPr>
          <w:rFonts w:hint="eastAsia" w:ascii="仿宋" w:hAnsi="仿宋" w:eastAsia="仿宋" w:cs="仿宋_GB2312"/>
          <w:sz w:val="24"/>
          <w:highlight w:val="none"/>
        </w:rPr>
        <w:t>章）</w:t>
      </w:r>
    </w:p>
    <w:p w14:paraId="022EE4F5">
      <w:pPr>
        <w:topLinePunct/>
        <w:spacing w:line="360" w:lineRule="auto"/>
        <w:ind w:firstLineChars="175"/>
        <w:jc w:val="both"/>
        <w:rPr>
          <w:rFonts w:ascii="仿宋" w:hAnsi="仿宋" w:eastAsia="仿宋" w:cs="仿宋_GB2312"/>
          <w:sz w:val="24"/>
          <w:highlight w:val="none"/>
        </w:rPr>
      </w:pPr>
      <w:r>
        <w:rPr>
          <w:rFonts w:hint="eastAsia" w:ascii="仿宋" w:hAnsi="仿宋" w:eastAsia="仿宋" w:cs="仿宋_GB2312"/>
          <w:sz w:val="24"/>
          <w:highlight w:val="none"/>
        </w:rPr>
        <w:t>法定代表人：（盖章或签字）</w:t>
      </w:r>
    </w:p>
    <w:p w14:paraId="4852E5DB">
      <w:pPr>
        <w:topLinePunct/>
        <w:spacing w:line="360" w:lineRule="auto"/>
        <w:ind w:firstLineChars="175"/>
        <w:jc w:val="both"/>
        <w:rPr>
          <w:rFonts w:ascii="仿宋" w:hAnsi="仿宋" w:eastAsia="仿宋" w:cs="仿宋_GB2312"/>
          <w:sz w:val="24"/>
          <w:highlight w:val="none"/>
          <w:u w:val="single"/>
        </w:rPr>
      </w:pPr>
      <w:r>
        <w:rPr>
          <w:rFonts w:hint="eastAsia" w:ascii="仿宋" w:hAnsi="仿宋" w:eastAsia="仿宋" w:cs="仿宋_GB2312"/>
          <w:sz w:val="24"/>
          <w:highlight w:val="none"/>
        </w:rPr>
        <w:t>身份证号码：</w:t>
      </w:r>
    </w:p>
    <w:p w14:paraId="16B334AF">
      <w:pPr>
        <w:topLinePunct/>
        <w:spacing w:line="360" w:lineRule="auto"/>
        <w:ind w:firstLineChars="175"/>
        <w:jc w:val="both"/>
        <w:rPr>
          <w:rFonts w:ascii="仿宋" w:hAnsi="仿宋" w:eastAsia="仿宋" w:cs="仿宋_GB2312"/>
          <w:sz w:val="24"/>
          <w:highlight w:val="none"/>
        </w:rPr>
      </w:pPr>
      <w:r>
        <w:rPr>
          <w:rFonts w:hint="eastAsia" w:ascii="仿宋" w:hAnsi="仿宋" w:eastAsia="仿宋" w:cs="仿宋_GB2312"/>
          <w:sz w:val="24"/>
          <w:highlight w:val="none"/>
        </w:rPr>
        <w:t>委托代理人：（签字）</w:t>
      </w:r>
    </w:p>
    <w:p w14:paraId="3056A51B">
      <w:pPr>
        <w:topLinePunct/>
        <w:spacing w:line="360" w:lineRule="auto"/>
        <w:ind w:firstLineChars="175"/>
        <w:jc w:val="both"/>
        <w:rPr>
          <w:rFonts w:ascii="仿宋" w:hAnsi="仿宋" w:eastAsia="仿宋" w:cs="仿宋_GB2312"/>
          <w:sz w:val="24"/>
          <w:highlight w:val="none"/>
          <w:u w:val="single"/>
        </w:rPr>
      </w:pPr>
      <w:r>
        <w:rPr>
          <w:rFonts w:hint="eastAsia" w:ascii="仿宋" w:hAnsi="仿宋" w:eastAsia="仿宋" w:cs="仿宋_GB2312"/>
          <w:sz w:val="24"/>
          <w:highlight w:val="none"/>
        </w:rPr>
        <w:t>身份证号码：</w:t>
      </w:r>
    </w:p>
    <w:p w14:paraId="62845010">
      <w:pPr>
        <w:topLinePunct/>
        <w:spacing w:line="360" w:lineRule="auto"/>
        <w:ind w:firstLineChars="175"/>
        <w:jc w:val="both"/>
        <w:rPr>
          <w:rFonts w:ascii="仿宋" w:hAnsi="仿宋" w:eastAsia="仿宋" w:cs="仿宋_GB2312"/>
          <w:sz w:val="24"/>
          <w:highlight w:val="none"/>
        </w:rPr>
      </w:pPr>
      <w:r>
        <w:rPr>
          <w:rFonts w:hint="eastAsia" w:ascii="仿宋" w:hAnsi="仿宋" w:eastAsia="仿宋" w:cs="仿宋_GB2312"/>
          <w:sz w:val="24"/>
          <w:highlight w:val="none"/>
          <w:lang w:eastAsia="zh-CN"/>
        </w:rPr>
        <w:t>日</w:t>
      </w:r>
      <w:r>
        <w:rPr>
          <w:rFonts w:hint="eastAsia" w:ascii="仿宋" w:hAnsi="仿宋" w:eastAsia="仿宋" w:cs="仿宋_GB2312"/>
          <w:sz w:val="24"/>
          <w:highlight w:val="none"/>
          <w:lang w:val="en-US" w:eastAsia="zh-CN"/>
        </w:rPr>
        <w:t xml:space="preserve">    </w:t>
      </w:r>
      <w:r>
        <w:rPr>
          <w:rFonts w:hint="eastAsia" w:ascii="仿宋" w:hAnsi="仿宋" w:eastAsia="仿宋" w:cs="仿宋_GB2312"/>
          <w:sz w:val="24"/>
          <w:highlight w:val="none"/>
          <w:lang w:eastAsia="zh-CN"/>
        </w:rPr>
        <w:t>期：</w:t>
      </w:r>
      <w:r>
        <w:rPr>
          <w:rFonts w:hint="eastAsia" w:ascii="仿宋" w:hAnsi="仿宋" w:eastAsia="仿宋" w:cs="仿宋_GB2312"/>
          <w:sz w:val="24"/>
          <w:highlight w:val="none"/>
          <w:lang w:val="en-US" w:eastAsia="zh-CN"/>
        </w:rPr>
        <w:t xml:space="preserve">    </w:t>
      </w:r>
      <w:r>
        <w:rPr>
          <w:rFonts w:hint="eastAsia" w:ascii="仿宋" w:hAnsi="仿宋" w:eastAsia="仿宋" w:cs="仿宋_GB2312"/>
          <w:sz w:val="24"/>
          <w:highlight w:val="none"/>
        </w:rPr>
        <w:t>年</w:t>
      </w:r>
      <w:r>
        <w:rPr>
          <w:rFonts w:hint="eastAsia" w:ascii="仿宋" w:hAnsi="仿宋" w:eastAsia="仿宋" w:cs="仿宋_GB2312"/>
          <w:sz w:val="24"/>
          <w:highlight w:val="none"/>
          <w:lang w:val="en-US" w:eastAsia="zh-CN"/>
        </w:rPr>
        <w:t xml:space="preserve">   </w:t>
      </w:r>
      <w:r>
        <w:rPr>
          <w:rFonts w:hint="eastAsia" w:ascii="仿宋" w:hAnsi="仿宋" w:eastAsia="仿宋" w:cs="仿宋_GB2312"/>
          <w:sz w:val="24"/>
          <w:highlight w:val="none"/>
        </w:rPr>
        <w:t>月</w:t>
      </w:r>
      <w:r>
        <w:rPr>
          <w:rFonts w:hint="eastAsia" w:ascii="仿宋" w:hAnsi="仿宋" w:eastAsia="仿宋" w:cs="仿宋_GB2312"/>
          <w:sz w:val="24"/>
          <w:highlight w:val="none"/>
          <w:lang w:val="en-US" w:eastAsia="zh-CN"/>
        </w:rPr>
        <w:t xml:space="preserve">    </w:t>
      </w:r>
      <w:r>
        <w:rPr>
          <w:rFonts w:hint="eastAsia" w:ascii="仿宋" w:hAnsi="仿宋" w:eastAsia="仿宋" w:cs="仿宋_GB2312"/>
          <w:sz w:val="24"/>
          <w:highlight w:val="none"/>
        </w:rPr>
        <w:t>日</w:t>
      </w:r>
    </w:p>
    <w:p w14:paraId="0925DC2A">
      <w:pPr>
        <w:widowControl w:val="0"/>
        <w:spacing w:line="240" w:lineRule="auto"/>
        <w:ind w:firstLine="480"/>
        <w:jc w:val="center"/>
        <w:outlineLvl w:val="1"/>
        <w:rPr>
          <w:rFonts w:hint="eastAsia" w:ascii="仿宋" w:hAnsi="仿宋" w:eastAsia="仿宋" w:cs="仿宋_GB2312"/>
          <w:b/>
          <w:bCs/>
          <w:sz w:val="28"/>
          <w:highlight w:val="none"/>
          <w:lang w:eastAsia="zh-CN"/>
        </w:rPr>
        <w:sectPr>
          <w:pgSz w:w="11906" w:h="16838"/>
          <w:pgMar w:top="1440" w:right="1080" w:bottom="1440" w:left="1080" w:header="851" w:footer="992" w:gutter="0"/>
          <w:cols w:space="425" w:num="1"/>
          <w:docGrid w:type="lines" w:linePitch="312" w:charSpace="0"/>
        </w:sectPr>
      </w:pPr>
      <w:bookmarkStart w:id="92" w:name="_Toc5332"/>
      <w:bookmarkStart w:id="93" w:name="_Toc9342901"/>
      <w:bookmarkStart w:id="94" w:name="_Toc152047266"/>
      <w:bookmarkStart w:id="95" w:name="_Toc360113103"/>
      <w:bookmarkStart w:id="96" w:name="_Toc29416"/>
      <w:bookmarkStart w:id="97" w:name="_Toc8819"/>
      <w:bookmarkStart w:id="98" w:name="_Toc330225911"/>
      <w:bookmarkStart w:id="99" w:name="_Toc144974470"/>
      <w:bookmarkStart w:id="100" w:name="_Toc480983370"/>
      <w:bookmarkStart w:id="101" w:name="_Toc25339"/>
      <w:bookmarkStart w:id="102" w:name="_Toc25912"/>
      <w:bookmarkStart w:id="103" w:name="_Toc9343239"/>
      <w:bookmarkStart w:id="104" w:name="_Toc25295"/>
    </w:p>
    <w:p w14:paraId="7C4AD76C">
      <w:pPr>
        <w:widowControl w:val="0"/>
        <w:spacing w:line="240" w:lineRule="auto"/>
        <w:ind w:firstLine="480"/>
        <w:jc w:val="center"/>
        <w:outlineLvl w:val="1"/>
        <w:rPr>
          <w:rFonts w:hint="eastAsia"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4.法人无行贿犯罪记录证明</w:t>
      </w:r>
    </w:p>
    <w:p w14:paraId="0B4D2570">
      <w:pPr>
        <w:widowControl w:val="0"/>
        <w:spacing w:line="240" w:lineRule="auto"/>
        <w:ind w:firstLine="480"/>
        <w:jc w:val="center"/>
        <w:outlineLvl w:val="1"/>
        <w:rPr>
          <w:rFonts w:hint="default" w:ascii="仿宋" w:hAnsi="仿宋" w:eastAsia="仿宋" w:cs="仿宋_GB2312"/>
          <w:b/>
          <w:bCs/>
          <w:sz w:val="28"/>
          <w:highlight w:val="none"/>
          <w:lang w:val="en-US" w:eastAsia="zh-CN"/>
        </w:rPr>
        <w:sectPr>
          <w:pgSz w:w="11906" w:h="16838"/>
          <w:pgMar w:top="1440" w:right="1080" w:bottom="1440" w:left="1080" w:header="851" w:footer="992" w:gutter="0"/>
          <w:cols w:space="425" w:num="1"/>
          <w:docGrid w:type="lines" w:linePitch="312" w:charSpace="0"/>
        </w:sectPr>
      </w:pPr>
      <w:r>
        <w:rPr>
          <w:rFonts w:hint="eastAsia" w:ascii="仿宋" w:hAnsi="仿宋" w:eastAsia="仿宋" w:cs="仿宋_GB2312"/>
          <w:b/>
          <w:bCs/>
          <w:sz w:val="28"/>
          <w:highlight w:val="none"/>
          <w:lang w:val="en-US" w:eastAsia="zh-CN"/>
        </w:rPr>
        <w:t>（当地法院开具）</w:t>
      </w:r>
    </w:p>
    <w:p w14:paraId="1F5C99B0">
      <w:pPr>
        <w:widowControl w:val="0"/>
        <w:numPr>
          <w:ilvl w:val="0"/>
          <w:numId w:val="0"/>
        </w:numPr>
        <w:spacing w:line="240" w:lineRule="auto"/>
        <w:jc w:val="center"/>
        <w:outlineLvl w:val="1"/>
        <w:rPr>
          <w:rFonts w:hint="default"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5.若不能开具“4.无法人无犯罪记录证明”，请提供以下5-1承诺书、5-2法人无犯罪记录证明、5-3信用中国查询报告</w:t>
      </w:r>
    </w:p>
    <w:p w14:paraId="5E747B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lang w:val="en-US" w:eastAsia="zh-CN"/>
        </w:rPr>
        <w:t>5-1</w:t>
      </w:r>
      <w:r>
        <w:rPr>
          <w:rFonts w:hint="eastAsia" w:ascii="方正小标宋_GBK" w:hAnsi="方正小标宋_GBK" w:eastAsia="方正小标宋_GBK" w:cs="方正小标宋_GBK"/>
          <w:sz w:val="44"/>
          <w:szCs w:val="44"/>
          <w:highlight w:val="none"/>
        </w:rPr>
        <w:t>无行贿犯罪记录承诺书</w:t>
      </w:r>
    </w:p>
    <w:p w14:paraId="66EA62F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val="en-US" w:eastAsia="zh-CN"/>
        </w:rPr>
      </w:pPr>
    </w:p>
    <w:p w14:paraId="480A91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合作单位名称（盖章）：</w:t>
      </w:r>
    </w:p>
    <w:p w14:paraId="5B9C3B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统一社会信用代码：</w:t>
      </w:r>
    </w:p>
    <w:p w14:paraId="07934F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法定代表人姓名：</w:t>
      </w:r>
    </w:p>
    <w:p w14:paraId="25393A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法定代表人身份证号：</w:t>
      </w:r>
    </w:p>
    <w:p w14:paraId="375C84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项目名称：</w:t>
      </w:r>
    </w:p>
    <w:p w14:paraId="153763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合作事项：</w:t>
      </w:r>
    </w:p>
    <w:p w14:paraId="7C617C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4D6510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本单位及法定代表人，作为</w:t>
      </w:r>
      <w:r>
        <w:rPr>
          <w:rFonts w:hint="eastAsia" w:ascii="仿宋_GB2312" w:hAnsi="仿宋_GB2312" w:eastAsia="仿宋_GB2312" w:cs="仿宋_GB2312"/>
          <w:sz w:val="32"/>
          <w:szCs w:val="32"/>
          <w:highlight w:val="none"/>
          <w:lang w:val="en-US" w:eastAsia="zh-CN"/>
        </w:rPr>
        <w:t>青岛碧海水务有限公司</w:t>
      </w:r>
      <w:r>
        <w:rPr>
          <w:rFonts w:hint="eastAsia" w:ascii="仿宋_GB2312" w:hAnsi="仿宋_GB2312" w:eastAsia="仿宋_GB2312" w:cs="仿宋_GB2312"/>
          <w:sz w:val="32"/>
          <w:szCs w:val="32"/>
          <w:highlight w:val="none"/>
        </w:rPr>
        <w:t>本次合作的意向/实际参与方，就廉洁从业及行贿犯罪记录情况，郑重承诺如下：</w:t>
      </w:r>
    </w:p>
    <w:p w14:paraId="16C6BF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一</w:t>
      </w:r>
      <w:r>
        <w:rPr>
          <w:rFonts w:hint="eastAsia" w:ascii="黑体" w:hAnsi="黑体" w:eastAsia="黑体" w:cs="黑体"/>
          <w:sz w:val="32"/>
          <w:szCs w:val="32"/>
          <w:highlight w:val="none"/>
        </w:rPr>
        <w:t>、关于无行贿犯罪记录的承诺</w:t>
      </w:r>
    </w:p>
    <w:p w14:paraId="1FC33C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1.本单位承诺：本单位在经营活动中无行贿犯罪记录，未因行贿行为被司法机关、纪检监察机关或行政监管部门作出生效判决、决定或行政处罚。</w:t>
      </w:r>
    </w:p>
    <w:p w14:paraId="4FA31C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承诺：本单位的法定代表人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姓名：XXX</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，无行贿犯罪记录，且在履职过程中从未实施、指使或放任任何形式的行贿行为。</w:t>
      </w:r>
    </w:p>
    <w:p w14:paraId="0066B1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二</w:t>
      </w:r>
      <w:r>
        <w:rPr>
          <w:rFonts w:hint="eastAsia" w:ascii="黑体" w:hAnsi="黑体" w:eastAsia="黑体" w:cs="黑体"/>
          <w:sz w:val="32"/>
          <w:szCs w:val="32"/>
          <w:highlight w:val="none"/>
        </w:rPr>
        <w:t>、关于配合监督管理的承诺</w:t>
      </w:r>
    </w:p>
    <w:p w14:paraId="7ABF51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本单位及</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完全知悉并同意遵守《中国水务投资集团有限公司党委关于加强在建项目、运营项目从业人员“八小时外”监督管理规定（试行）》及相关廉洁要求。具体承诺如下：</w:t>
      </w:r>
    </w:p>
    <w:p w14:paraId="3C0DDA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1.真实披露：本承诺书所陈述内容真实、完整、准确。如提供虚假承诺，自愿承担一切法律后果及合同责任。</w:t>
      </w:r>
    </w:p>
    <w:p w14:paraId="3BC5E9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2.接受查询授权：同意并授权贵单位通过中国裁判文书网、信用中国等公开渠道，查询本单位及</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的行贿犯罪记录及其他相关信用信息。</w:t>
      </w:r>
    </w:p>
    <w:p w14:paraId="2937D0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3.补充证明提供：若公开查询渠道无法完全满足贵单位审查要求，本单位及</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将积极配合提供个人无犯罪记录证明（由户籍地或经常居住地公安机关出具），或提供其他可证明无行贿记录的有效法律文件。</w:t>
      </w:r>
    </w:p>
    <w:p w14:paraId="4574A3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4.持续合规承诺：在本项目合作期间（包括“八小时外”），本单位及</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保证不以任何形式向贵单位及关联单位从业人员及其特定关系人进行利益输送、行贿或变相行贿，不实施“围猎”行为。</w:t>
      </w:r>
    </w:p>
    <w:p w14:paraId="6F42DC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四、违反承诺的后果</w:t>
      </w:r>
    </w:p>
    <w:p w14:paraId="795179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若本承诺书内容存在虚假，或本单位/</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在合作期间出现行贿、变相行贿等行为，贵单位有权：</w:t>
      </w:r>
    </w:p>
    <w:p w14:paraId="028F77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取消</w:t>
      </w: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highlight w:val="none"/>
        </w:rPr>
        <w:t>单位的合作资格或中标结果；</w:t>
      </w:r>
    </w:p>
    <w:p w14:paraId="38DC2F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解除已签订的全部或部分合同，并追究</w:t>
      </w: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highlight w:val="none"/>
        </w:rPr>
        <w:t>单位的违约责任；</w:t>
      </w:r>
    </w:p>
    <w:p w14:paraId="431372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将本单位列入贵单位供应商/合作单位黑名单，不再合作；</w:t>
      </w:r>
    </w:p>
    <w:p w14:paraId="659346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将相关线索移送纪检监察机关或司法机关处理；</w:t>
      </w:r>
    </w:p>
    <w:p w14:paraId="29C2D3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要求本单位承担由此造成的全部损失（包括直接损失、间接损失及维权费用）。</w:t>
      </w:r>
    </w:p>
    <w:p w14:paraId="4738B3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五、其他</w:t>
      </w:r>
    </w:p>
    <w:p w14:paraId="4D07F9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本承诺书一式</w:t>
      </w:r>
      <w:r>
        <w:rPr>
          <w:rFonts w:hint="eastAsia" w:ascii="仿宋_GB2312" w:hAnsi="仿宋_GB2312" w:eastAsia="仿宋_GB2312" w:cs="仿宋_GB2312"/>
          <w:sz w:val="32"/>
          <w:szCs w:val="32"/>
          <w:highlight w:val="none"/>
          <w:lang w:val="en-US" w:eastAsia="zh-CN"/>
        </w:rPr>
        <w:t>两</w:t>
      </w:r>
      <w:r>
        <w:rPr>
          <w:rFonts w:hint="eastAsia" w:ascii="仿宋_GB2312" w:hAnsi="仿宋_GB2312" w:eastAsia="仿宋_GB2312" w:cs="仿宋_GB2312"/>
          <w:sz w:val="32"/>
          <w:szCs w:val="32"/>
          <w:highlight w:val="none"/>
        </w:rPr>
        <w:t>份，贵单位执</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份，承诺单位执</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份，具有同等法律效力。</w:t>
      </w:r>
    </w:p>
    <w:p w14:paraId="0D34A7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05717D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承诺单位（盖章）： </w:t>
      </w:r>
    </w:p>
    <w:p w14:paraId="114D36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0690F7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法定代表人（签字或盖章）：  </w:t>
      </w:r>
    </w:p>
    <w:p w14:paraId="3E2234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6BDEAB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日期： ____年__月__日</w:t>
      </w:r>
    </w:p>
    <w:p w14:paraId="256F6E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338BF69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8DD00C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539A2E5">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BAF9D5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329BA6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CDAFCC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3A307E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29F69F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AAE4A9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D49DDE6">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9744015">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F8CC9B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C87DE0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2903C2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9032CF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595D7D5">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8CBCF2B">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A09FB0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9D76B33">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B6A215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5-2法人无犯罪记录证明</w:t>
      </w:r>
    </w:p>
    <w:p w14:paraId="3357FB0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3EC561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43ACB8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058F95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DC1C42A">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CCB82D0">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55276E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8A6D3E1">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B59F3B3">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1EE5F0B">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C9CAE56">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68FACD7">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B58568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E6B9295">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DEEA6CE">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D46D03E">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0ED666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F1C2DB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1B3782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99F2C8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C2B1327">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E152AC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CB2ECD1">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729CB8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D874CD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0D2981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37FD14B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0600F5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C3691DB">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EF7735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E7EDFC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34CAA59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EE87D0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6A0DFF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A23E36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2642640">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6F4D03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C06D2CB">
      <w:pPr>
        <w:widowControl w:val="0"/>
        <w:numPr>
          <w:ilvl w:val="0"/>
          <w:numId w:val="0"/>
        </w:numPr>
        <w:spacing w:line="240" w:lineRule="auto"/>
        <w:jc w:val="center"/>
        <w:outlineLvl w:val="1"/>
        <w:rPr>
          <w:rFonts w:hint="default"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5-3信用中国查询报告</w:t>
      </w:r>
    </w:p>
    <w:p w14:paraId="3E410434">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0B7DCD08">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73EB1774">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092C17A9">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080EA450">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7C6CC220">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26B52259">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238EEE46">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6767B35A">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3DA40A34">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73A8C73D">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2E85CD38">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52E49AC9">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5EFF65AE">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39D477D3">
      <w:pPr>
        <w:pageBreakBefore w:val="0"/>
        <w:shd w:val="clear"/>
        <w:kinsoku/>
        <w:wordWrap/>
        <w:overflowPunct/>
        <w:autoSpaceDE/>
        <w:autoSpaceDN/>
        <w:bidi w:val="0"/>
        <w:adjustRightInd w:val="0"/>
        <w:snapToGrid w:val="0"/>
        <w:spacing w:before="120" w:beforeLines="50" w:after="100" w:afterAutospacing="1" w:line="360" w:lineRule="auto"/>
        <w:jc w:val="both"/>
        <w:textAlignment w:val="auto"/>
        <w:rPr>
          <w:rFonts w:hint="eastAsia" w:ascii="仿宋" w:hAnsi="仿宋" w:eastAsia="仿宋" w:cs="仿宋"/>
          <w:b/>
          <w:bCs/>
          <w:sz w:val="32"/>
          <w:szCs w:val="32"/>
          <w:highlight w:val="none"/>
          <w:lang w:val="en-US" w:eastAsia="zh-CN"/>
        </w:rPr>
      </w:pPr>
    </w:p>
    <w:p w14:paraId="2C62B469">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6.</w:t>
      </w:r>
      <w:r>
        <w:rPr>
          <w:rFonts w:hint="eastAsia" w:ascii="仿宋" w:hAnsi="仿宋" w:eastAsia="仿宋" w:cs="仿宋"/>
          <w:b/>
          <w:bCs/>
          <w:sz w:val="32"/>
          <w:szCs w:val="32"/>
          <w:highlight w:val="none"/>
        </w:rPr>
        <w:t>开标一览表</w:t>
      </w: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760"/>
      </w:tblGrid>
      <w:tr w14:paraId="1502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4E4E5251">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项目名称</w:t>
            </w:r>
          </w:p>
        </w:tc>
        <w:tc>
          <w:tcPr>
            <w:tcW w:w="7760" w:type="dxa"/>
            <w:vAlign w:val="center"/>
          </w:tcPr>
          <w:p w14:paraId="7B0ADF0F">
            <w:pPr>
              <w:pageBreakBefore w:val="0"/>
              <w:shd w:val="clear"/>
              <w:kinsoku/>
              <w:wordWrap/>
              <w:overflowPunct/>
              <w:autoSpaceDE/>
              <w:autoSpaceDN/>
              <w:bidi w:val="0"/>
              <w:adjustRightInd w:val="0"/>
              <w:snapToGrid w:val="0"/>
              <w:spacing w:line="360" w:lineRule="auto"/>
              <w:ind w:firstLine="404" w:firstLineChars="200"/>
              <w:jc w:val="center"/>
              <w:textAlignment w:val="auto"/>
              <w:rPr>
                <w:rFonts w:ascii="宋体" w:hAnsi="宋体"/>
                <w:spacing w:val="-4"/>
                <w:sz w:val="21"/>
                <w:szCs w:val="21"/>
                <w:highlight w:val="none"/>
              </w:rPr>
            </w:pPr>
          </w:p>
        </w:tc>
      </w:tr>
      <w:tr w14:paraId="4862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33DDE9A2">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项目编号</w:t>
            </w:r>
          </w:p>
        </w:tc>
        <w:tc>
          <w:tcPr>
            <w:tcW w:w="7760" w:type="dxa"/>
            <w:vAlign w:val="center"/>
          </w:tcPr>
          <w:p w14:paraId="0A62E173">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 xml:space="preserve"> </w:t>
            </w:r>
          </w:p>
        </w:tc>
      </w:tr>
      <w:tr w14:paraId="4977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vAlign w:val="center"/>
          </w:tcPr>
          <w:p w14:paraId="010949B9">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黑体" w:hAnsi="黑体" w:eastAsia="黑体"/>
                <w:sz w:val="21"/>
                <w:szCs w:val="21"/>
                <w:highlight w:val="none"/>
                <w:lang w:eastAsia="zh-CN"/>
              </w:rPr>
            </w:pPr>
            <w:r>
              <w:rPr>
                <w:rFonts w:hint="eastAsia" w:ascii="黑体" w:hAnsi="黑体" w:eastAsia="黑体"/>
                <w:sz w:val="21"/>
                <w:szCs w:val="21"/>
                <w:highlight w:val="none"/>
              </w:rPr>
              <w:t>投标总价</w:t>
            </w:r>
            <w:r>
              <w:rPr>
                <w:rFonts w:hint="eastAsia" w:ascii="黑体" w:hAnsi="黑体" w:eastAsia="黑体"/>
                <w:sz w:val="21"/>
                <w:szCs w:val="21"/>
                <w:highlight w:val="none"/>
                <w:lang w:eastAsia="zh-CN"/>
              </w:rPr>
              <w:t>（</w:t>
            </w:r>
            <w:r>
              <w:rPr>
                <w:rFonts w:hint="eastAsia" w:ascii="黑体" w:hAnsi="黑体" w:eastAsia="黑体"/>
                <w:sz w:val="21"/>
                <w:szCs w:val="21"/>
                <w:highlight w:val="none"/>
                <w:lang w:val="en-US" w:eastAsia="zh-CN"/>
              </w:rPr>
              <w:t>标注税率</w:t>
            </w:r>
            <w:r>
              <w:rPr>
                <w:rFonts w:hint="eastAsia" w:ascii="黑体" w:hAnsi="黑体" w:eastAsia="黑体"/>
                <w:sz w:val="21"/>
                <w:szCs w:val="21"/>
                <w:highlight w:val="none"/>
                <w:lang w:eastAsia="zh-CN"/>
              </w:rPr>
              <w:t>）</w:t>
            </w:r>
          </w:p>
        </w:tc>
        <w:tc>
          <w:tcPr>
            <w:tcW w:w="7760" w:type="dxa"/>
            <w:vAlign w:val="center"/>
          </w:tcPr>
          <w:p w14:paraId="73548A5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tc>
      </w:tr>
      <w:tr w14:paraId="4C61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vAlign w:val="center"/>
          </w:tcPr>
          <w:p w14:paraId="60A8C19A">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p>
        </w:tc>
        <w:tc>
          <w:tcPr>
            <w:tcW w:w="7760" w:type="dxa"/>
            <w:vAlign w:val="center"/>
          </w:tcPr>
          <w:p w14:paraId="4AE45082">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sz w:val="21"/>
                <w:szCs w:val="21"/>
                <w:highlight w:val="none"/>
              </w:rPr>
            </w:pPr>
          </w:p>
        </w:tc>
      </w:tr>
      <w:tr w14:paraId="4923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25E495E2">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交 货 期</w:t>
            </w:r>
          </w:p>
        </w:tc>
        <w:tc>
          <w:tcPr>
            <w:tcW w:w="7760" w:type="dxa"/>
            <w:vAlign w:val="center"/>
          </w:tcPr>
          <w:p w14:paraId="199870AD">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sz w:val="21"/>
                <w:szCs w:val="21"/>
                <w:highlight w:val="none"/>
                <w:u w:val="single"/>
              </w:rPr>
            </w:pPr>
          </w:p>
        </w:tc>
      </w:tr>
      <w:tr w14:paraId="4C8B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667F254A">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质保期</w:t>
            </w:r>
          </w:p>
        </w:tc>
        <w:tc>
          <w:tcPr>
            <w:tcW w:w="7760" w:type="dxa"/>
            <w:vAlign w:val="center"/>
          </w:tcPr>
          <w:p w14:paraId="54919022">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sz w:val="21"/>
                <w:szCs w:val="21"/>
                <w:highlight w:val="none"/>
              </w:rPr>
            </w:pPr>
          </w:p>
        </w:tc>
      </w:tr>
      <w:tr w14:paraId="2C86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380282A0">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付款方式</w:t>
            </w:r>
          </w:p>
        </w:tc>
        <w:tc>
          <w:tcPr>
            <w:tcW w:w="7760" w:type="dxa"/>
            <w:vAlign w:val="center"/>
          </w:tcPr>
          <w:p w14:paraId="798A9923">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sz w:val="21"/>
                <w:szCs w:val="21"/>
                <w:highlight w:val="none"/>
              </w:rPr>
            </w:pPr>
          </w:p>
        </w:tc>
      </w:tr>
      <w:tr w14:paraId="3CD1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743A31F0">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default" w:ascii="黑体" w:hAnsi="黑体" w:eastAsia="黑体"/>
                <w:sz w:val="21"/>
                <w:szCs w:val="21"/>
                <w:highlight w:val="none"/>
                <w:lang w:val="en-US" w:eastAsia="zh-CN"/>
              </w:rPr>
            </w:pPr>
            <w:r>
              <w:rPr>
                <w:rFonts w:hint="eastAsia" w:ascii="黑体" w:hAnsi="黑体" w:eastAsia="黑体"/>
                <w:sz w:val="21"/>
                <w:szCs w:val="21"/>
                <w:highlight w:val="none"/>
                <w:lang w:val="en-US" w:eastAsia="zh-CN"/>
              </w:rPr>
              <w:t>商务条件</w:t>
            </w:r>
          </w:p>
        </w:tc>
        <w:tc>
          <w:tcPr>
            <w:tcW w:w="7760" w:type="dxa"/>
            <w:vAlign w:val="center"/>
          </w:tcPr>
          <w:p w14:paraId="1BDDA16D">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eastAsia="宋体" w:cs="Times New Roman"/>
                <w:kern w:val="2"/>
                <w:sz w:val="21"/>
                <w:szCs w:val="21"/>
                <w:highlight w:val="none"/>
                <w:lang w:val="en-US" w:eastAsia="zh-CN" w:bidi="ar-SA"/>
              </w:rPr>
            </w:pPr>
          </w:p>
        </w:tc>
      </w:tr>
      <w:tr w14:paraId="233B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2388BA23">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黑体" w:hAnsi="黑体" w:eastAsia="黑体"/>
                <w:sz w:val="21"/>
                <w:szCs w:val="21"/>
                <w:highlight w:val="none"/>
                <w:lang w:val="en-US" w:eastAsia="zh-CN"/>
              </w:rPr>
            </w:pPr>
            <w:r>
              <w:rPr>
                <w:rFonts w:hint="eastAsia" w:ascii="黑体" w:hAnsi="黑体" w:eastAsia="黑体"/>
                <w:sz w:val="21"/>
                <w:szCs w:val="21"/>
                <w:highlight w:val="none"/>
                <w:lang w:val="en-US" w:eastAsia="zh-CN"/>
              </w:rPr>
              <w:t>技术条件</w:t>
            </w:r>
          </w:p>
        </w:tc>
        <w:tc>
          <w:tcPr>
            <w:tcW w:w="7760" w:type="dxa"/>
            <w:vAlign w:val="center"/>
          </w:tcPr>
          <w:p w14:paraId="5E218196">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eastAsia="宋体" w:cs="Times New Roman"/>
                <w:kern w:val="2"/>
                <w:sz w:val="21"/>
                <w:szCs w:val="21"/>
                <w:highlight w:val="none"/>
                <w:lang w:val="en-US" w:eastAsia="zh-CN" w:bidi="ar-SA"/>
              </w:rPr>
            </w:pPr>
          </w:p>
        </w:tc>
      </w:tr>
    </w:tbl>
    <w:p w14:paraId="39CE88E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p w14:paraId="1052437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p w14:paraId="757446F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报价供应商：</w:t>
      </w:r>
      <w:r>
        <w:rPr>
          <w:rFonts w:hint="eastAsia" w:ascii="宋体" w:hAnsi="宋体"/>
          <w:sz w:val="21"/>
          <w:szCs w:val="21"/>
          <w:highlight w:val="none"/>
          <w:u w:val="single"/>
        </w:rPr>
        <w:t xml:space="preserve">                    </w:t>
      </w:r>
      <w:r>
        <w:rPr>
          <w:rFonts w:hint="eastAsia" w:ascii="宋体" w:hAnsi="宋体"/>
          <w:sz w:val="21"/>
          <w:szCs w:val="21"/>
          <w:highlight w:val="none"/>
        </w:rPr>
        <w:t>（盖报价供应商单位公章）</w:t>
      </w:r>
    </w:p>
    <w:p w14:paraId="1E5F435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p w14:paraId="1A4BA79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法定代表人或其委托代理人：</w:t>
      </w:r>
      <w:r>
        <w:rPr>
          <w:rFonts w:hint="eastAsia" w:ascii="宋体" w:hAnsi="宋体"/>
          <w:sz w:val="21"/>
          <w:szCs w:val="21"/>
          <w:highlight w:val="none"/>
          <w:u w:val="single"/>
        </w:rPr>
        <w:t xml:space="preserve">        </w:t>
      </w:r>
      <w:r>
        <w:rPr>
          <w:rFonts w:hint="eastAsia" w:ascii="宋体" w:hAnsi="宋体"/>
          <w:sz w:val="21"/>
          <w:szCs w:val="21"/>
          <w:highlight w:val="none"/>
        </w:rPr>
        <w:t>（签字或印章）</w:t>
      </w:r>
    </w:p>
    <w:p w14:paraId="17FFF7A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p w14:paraId="642B6FC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日  期：</w:t>
      </w:r>
      <w:r>
        <w:rPr>
          <w:rFonts w:hint="eastAsia" w:ascii="宋体" w:hAnsi="宋体"/>
          <w:sz w:val="21"/>
          <w:szCs w:val="21"/>
          <w:highlight w:val="none"/>
          <w:u w:val="single"/>
        </w:rPr>
        <w:t xml:space="preserve">      </w:t>
      </w:r>
      <w:r>
        <w:rPr>
          <w:rFonts w:hint="eastAsia" w:ascii="宋体" w:hAnsi="宋体"/>
          <w:sz w:val="21"/>
          <w:szCs w:val="21"/>
          <w:highlight w:val="none"/>
        </w:rPr>
        <w:t>年</w:t>
      </w:r>
      <w:r>
        <w:rPr>
          <w:rFonts w:hint="eastAsia" w:ascii="宋体" w:hAnsi="宋体"/>
          <w:sz w:val="21"/>
          <w:szCs w:val="21"/>
          <w:highlight w:val="none"/>
          <w:u w:val="single"/>
        </w:rPr>
        <w:t xml:space="preserve">   </w:t>
      </w:r>
      <w:r>
        <w:rPr>
          <w:rFonts w:hint="eastAsia" w:ascii="宋体" w:hAnsi="宋体"/>
          <w:sz w:val="21"/>
          <w:szCs w:val="21"/>
          <w:highlight w:val="none"/>
        </w:rPr>
        <w:t>月</w:t>
      </w:r>
      <w:r>
        <w:rPr>
          <w:rFonts w:hint="eastAsia" w:ascii="宋体" w:hAnsi="宋体"/>
          <w:sz w:val="21"/>
          <w:szCs w:val="21"/>
          <w:highlight w:val="none"/>
          <w:u w:val="single"/>
        </w:rPr>
        <w:t xml:space="preserve">   </w:t>
      </w:r>
      <w:r>
        <w:rPr>
          <w:rFonts w:hint="eastAsia" w:ascii="宋体" w:hAnsi="宋体"/>
          <w:sz w:val="21"/>
          <w:szCs w:val="21"/>
          <w:highlight w:val="none"/>
        </w:rPr>
        <w:t>日</w:t>
      </w:r>
    </w:p>
    <w:p w14:paraId="2C930B1E">
      <w:pPr>
        <w:widowControl w:val="0"/>
        <w:spacing w:line="240" w:lineRule="auto"/>
        <w:ind w:firstLine="480"/>
        <w:jc w:val="right"/>
        <w:outlineLvl w:val="1"/>
        <w:rPr>
          <w:rFonts w:hint="eastAsia" w:ascii="仿宋" w:hAnsi="仿宋" w:eastAsia="仿宋" w:cs="仿宋_GB2312"/>
          <w:b w:val="0"/>
          <w:bCs w:val="0"/>
          <w:sz w:val="28"/>
          <w:highlight w:val="none"/>
          <w:lang w:eastAsia="zh-CN"/>
        </w:rPr>
      </w:pPr>
    </w:p>
    <w:p w14:paraId="4B94BDFB">
      <w:pPr>
        <w:pStyle w:val="11"/>
        <w:rPr>
          <w:rFonts w:hint="eastAsia" w:ascii="仿宋" w:hAnsi="仿宋" w:eastAsia="仿宋" w:cs="仿宋_GB2312"/>
          <w:b w:val="0"/>
          <w:bCs w:val="0"/>
          <w:sz w:val="28"/>
          <w:highlight w:val="none"/>
          <w:lang w:eastAsia="zh-CN"/>
        </w:rPr>
      </w:pPr>
    </w:p>
    <w:p w14:paraId="69C669EC">
      <w:pPr>
        <w:pStyle w:val="11"/>
        <w:rPr>
          <w:rFonts w:hint="eastAsia" w:ascii="仿宋" w:hAnsi="仿宋" w:eastAsia="仿宋" w:cs="仿宋_GB2312"/>
          <w:b w:val="0"/>
          <w:bCs w:val="0"/>
          <w:sz w:val="28"/>
          <w:highlight w:val="none"/>
          <w:lang w:eastAsia="zh-CN"/>
        </w:rPr>
      </w:pPr>
    </w:p>
    <w:p w14:paraId="2824A6C6">
      <w:pPr>
        <w:pStyle w:val="11"/>
        <w:rPr>
          <w:rFonts w:hint="eastAsia" w:ascii="仿宋" w:hAnsi="仿宋" w:eastAsia="仿宋" w:cs="仿宋_GB2312"/>
          <w:b w:val="0"/>
          <w:bCs w:val="0"/>
          <w:sz w:val="28"/>
          <w:highlight w:val="none"/>
          <w:lang w:eastAsia="zh-CN"/>
        </w:rPr>
      </w:pPr>
    </w:p>
    <w:p w14:paraId="4298A159">
      <w:pPr>
        <w:pStyle w:val="11"/>
        <w:rPr>
          <w:rFonts w:hint="eastAsia" w:ascii="仿宋" w:hAnsi="仿宋" w:eastAsia="仿宋" w:cs="仿宋_GB2312"/>
          <w:b w:val="0"/>
          <w:bCs w:val="0"/>
          <w:sz w:val="28"/>
          <w:highlight w:val="none"/>
          <w:lang w:eastAsia="zh-CN"/>
        </w:rPr>
      </w:pPr>
    </w:p>
    <w:p w14:paraId="13331EDE">
      <w:pPr>
        <w:pStyle w:val="11"/>
        <w:rPr>
          <w:rFonts w:hint="eastAsia" w:ascii="仿宋" w:hAnsi="仿宋" w:eastAsia="仿宋" w:cs="仿宋_GB2312"/>
          <w:b w:val="0"/>
          <w:bCs w:val="0"/>
          <w:sz w:val="28"/>
          <w:highlight w:val="none"/>
          <w:lang w:eastAsia="zh-CN"/>
        </w:rPr>
      </w:pPr>
    </w:p>
    <w:p w14:paraId="18A0AE94">
      <w:pPr>
        <w:pStyle w:val="11"/>
        <w:rPr>
          <w:rFonts w:hint="eastAsia" w:ascii="仿宋" w:hAnsi="仿宋" w:eastAsia="仿宋" w:cs="仿宋_GB2312"/>
          <w:b w:val="0"/>
          <w:bCs w:val="0"/>
          <w:sz w:val="28"/>
          <w:highlight w:val="none"/>
          <w:lang w:eastAsia="zh-CN"/>
        </w:rPr>
      </w:pPr>
    </w:p>
    <w:p w14:paraId="2F0CA4EA">
      <w:pPr>
        <w:pStyle w:val="11"/>
        <w:rPr>
          <w:rFonts w:hint="eastAsia" w:ascii="仿宋" w:hAnsi="仿宋" w:eastAsia="仿宋" w:cs="仿宋_GB2312"/>
          <w:b w:val="0"/>
          <w:bCs w:val="0"/>
          <w:sz w:val="28"/>
          <w:highlight w:val="none"/>
          <w:lang w:eastAsia="zh-CN"/>
        </w:rPr>
      </w:pPr>
    </w:p>
    <w:p w14:paraId="426D62C3">
      <w:pPr>
        <w:pStyle w:val="11"/>
        <w:rPr>
          <w:rFonts w:hint="eastAsia" w:ascii="仿宋" w:hAnsi="仿宋" w:eastAsia="仿宋" w:cs="仿宋_GB2312"/>
          <w:b w:val="0"/>
          <w:bCs w:val="0"/>
          <w:sz w:val="28"/>
          <w:highlight w:val="none"/>
          <w:lang w:eastAsia="zh-CN"/>
        </w:rPr>
      </w:pPr>
    </w:p>
    <w:p w14:paraId="2ED3FAB9">
      <w:pPr>
        <w:pStyle w:val="11"/>
        <w:rPr>
          <w:rFonts w:hint="eastAsia" w:ascii="仿宋" w:hAnsi="仿宋" w:eastAsia="仿宋" w:cs="仿宋_GB2312"/>
          <w:b w:val="0"/>
          <w:bCs w:val="0"/>
          <w:sz w:val="28"/>
          <w:highlight w:val="none"/>
          <w:lang w:eastAsia="zh-CN"/>
        </w:rPr>
      </w:pPr>
    </w:p>
    <w:p w14:paraId="3FF5599F">
      <w:pPr>
        <w:pStyle w:val="11"/>
        <w:rPr>
          <w:rFonts w:hint="eastAsia" w:ascii="仿宋" w:hAnsi="仿宋" w:eastAsia="仿宋" w:cs="仿宋_GB2312"/>
          <w:b w:val="0"/>
          <w:bCs w:val="0"/>
          <w:sz w:val="28"/>
          <w:highlight w:val="none"/>
          <w:lang w:eastAsia="zh-CN"/>
        </w:rPr>
      </w:pPr>
    </w:p>
    <w:p w14:paraId="373E460D">
      <w:pPr>
        <w:pStyle w:val="11"/>
        <w:jc w:val="center"/>
        <w:rPr>
          <w:rFonts w:hint="eastAsia" w:ascii="仿宋" w:hAnsi="仿宋" w:eastAsia="仿宋" w:cs="仿宋_GB2312"/>
          <w:b/>
          <w:bCs/>
          <w:sz w:val="28"/>
          <w:highlight w:val="none"/>
          <w:lang w:val="en-US" w:eastAsia="zh-CN"/>
        </w:rPr>
      </w:pPr>
    </w:p>
    <w:p w14:paraId="182144AC">
      <w:pPr>
        <w:pStyle w:val="11"/>
        <w:jc w:val="center"/>
        <w:rPr>
          <w:rFonts w:hint="eastAsia" w:ascii="仿宋" w:hAnsi="仿宋" w:eastAsia="仿宋" w:cs="仿宋_GB2312"/>
          <w:b/>
          <w:bCs/>
          <w:sz w:val="28"/>
          <w:highlight w:val="none"/>
          <w:lang w:val="en-US" w:eastAsia="zh-CN"/>
        </w:rPr>
      </w:pPr>
    </w:p>
    <w:p w14:paraId="32EF1425">
      <w:pPr>
        <w:pStyle w:val="11"/>
        <w:jc w:val="center"/>
        <w:rPr>
          <w:rFonts w:hint="default"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7.报价清单</w:t>
      </w:r>
    </w:p>
    <w:p w14:paraId="7484462B">
      <w:pPr>
        <w:pStyle w:val="11"/>
        <w:rPr>
          <w:rFonts w:hint="eastAsia" w:ascii="仿宋" w:hAnsi="仿宋" w:eastAsia="仿宋" w:cs="仿宋_GB2312"/>
          <w:b w:val="0"/>
          <w:bCs w:val="0"/>
          <w:sz w:val="28"/>
          <w:highlight w:val="none"/>
          <w:lang w:eastAsia="zh-CN"/>
        </w:rPr>
      </w:pPr>
    </w:p>
    <w:tbl>
      <w:tblPr>
        <w:tblStyle w:val="17"/>
        <w:tblW w:w="10906" w:type="dxa"/>
        <w:tblInd w:w="-111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1050"/>
        <w:gridCol w:w="850"/>
        <w:gridCol w:w="4970"/>
        <w:gridCol w:w="514"/>
        <w:gridCol w:w="633"/>
        <w:gridCol w:w="633"/>
        <w:gridCol w:w="684"/>
        <w:gridCol w:w="872"/>
      </w:tblGrid>
      <w:tr w14:paraId="59F31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10906" w:type="dxa"/>
            <w:gridSpan w:val="9"/>
            <w:tcBorders>
              <w:top w:val="nil"/>
              <w:left w:val="nil"/>
              <w:bottom w:val="nil"/>
              <w:right w:val="nil"/>
            </w:tcBorders>
            <w:shd w:val="clear" w:color="auto" w:fill="auto"/>
            <w:vAlign w:val="center"/>
          </w:tcPr>
          <w:p w14:paraId="798111E0">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highlight w:val="none"/>
                <w:u w:val="none"/>
              </w:rPr>
            </w:pPr>
            <w:r>
              <w:rPr>
                <w:rFonts w:hint="eastAsia" w:ascii="微软雅黑" w:hAnsi="微软雅黑" w:eastAsia="微软雅黑" w:cs="微软雅黑"/>
                <w:b/>
                <w:bCs/>
                <w:i w:val="0"/>
                <w:iCs w:val="0"/>
                <w:snapToGrid w:val="0"/>
                <w:color w:val="000000"/>
                <w:kern w:val="0"/>
                <w:sz w:val="32"/>
                <w:szCs w:val="32"/>
                <w:highlight w:val="none"/>
                <w:u w:val="none"/>
                <w:lang w:val="en-US" w:eastAsia="zh-CN" w:bidi="ar"/>
              </w:rPr>
              <w:t>管家楼水厂电子围栏</w:t>
            </w:r>
          </w:p>
        </w:tc>
      </w:tr>
      <w:tr w14:paraId="67AB7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C15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序号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0EC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商品名称</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FBE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品牌</w:t>
            </w: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9A0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技术规格</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A1C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单位</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28F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数量</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294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单价(元)</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9C8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合价(元)</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4B4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备注</w:t>
            </w:r>
          </w:p>
        </w:tc>
      </w:tr>
      <w:tr w14:paraId="29157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02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CC7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网络版四线双防脉冲主机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71E6">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ED4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4.3英寸的液晶显示操作屏，可显示每个防区的工作电压，带有4个功能按键可进行布防、撤防、电压调节等操作；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支持防区电压无级调控（最小颗粒度0.1Kv），电压值调控范围(0.9Kv-6.5Kv)；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支持防区报警图标显示,可实时监控每个防区情况,一旦报警被触发图标立即闪烁并报警提示；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内接式螺丝接线端子台，让高压与脉冲连接更可靠、稳定，安全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同时支持继电器干接点、RS485接口、RJ45（TCP/IP）三种通信接口，实现跟中心报警主机的通信；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内置十进制拨码模块，地址支持0~99，当采用RS485通信方式时，相较传统二进制拨码更加的准确、高效；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支持一路第三防区扩展，该功能可以支持脉冲主机外接一路探测器，在综合技防场景中可以节省施工成本，提高布线效率；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支持输出一路DC12V 1A供电，给就近其他探测器提供供电，节省综合施工成本；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支持防区报警（短路、断路、触网）、防拆报警、系统故障报警等多种报警方式；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内置两路独立高压电路，实现真正意义上的双防区，控制中心对该脉冲主机的回控可以精确到单个防区实现分别独立控制；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软件功能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防区：2个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配置方式：本地配置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异常状态监测：支持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硬件接口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电池接口：支持1路DC12V 1A蓄电池接入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报警输出：4路开关量输出（2路为防区报警输出，1路为外部开关量报警输出，1路主机掉电报警输出）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网络接口：1个RJ45接口 （10/100M）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报警输入：支持1组报警输入NO/NC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数字按键：支持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电气性能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功耗：30W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电源：脉冲主机：DC15V±10%，2A，30W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适配器：输入 AC100~240V，1.5A Max，50/60Hz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输出 DC15V，4A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有线连接：支持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显示屏：4.3寸液晶显示屏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常规参数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外壳材质：ABS工程塑料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重量：2.79kg ±0.05kg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工作温度：﹣30°C -- +55°C，±10%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工作湿度：10％ - 90％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尺寸(宽x高x深)：380mm高×255mm宽×110mm深</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26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154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04AC">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79D3">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C0B8">
            <w:pPr>
              <w:jc w:val="left"/>
              <w:rPr>
                <w:rFonts w:hint="eastAsia" w:ascii="微软雅黑" w:hAnsi="微软雅黑" w:eastAsia="微软雅黑" w:cs="微软雅黑"/>
                <w:i w:val="0"/>
                <w:iCs w:val="0"/>
                <w:color w:val="000000"/>
                <w:sz w:val="16"/>
                <w:szCs w:val="16"/>
                <w:highlight w:val="none"/>
                <w:u w:val="none"/>
              </w:rPr>
            </w:pPr>
          </w:p>
        </w:tc>
      </w:tr>
      <w:tr w14:paraId="3FC7C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1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D8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91E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网络版四线单防脉冲主机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A49E">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537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4.3英寸的液晶显示操作屏，可显示每个防区的工作电压，带有4个功能按键可进行布防、撤防、电压调节等操作；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支持防区电压无级调控（最小颗粒度0.1Kv），电压值调控范围(0.9Kv-6.5Kv)；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支持防区报警图标显示,可实时监控每个防区情况,一旦报警被触发图标立即闪烁并报警提示；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内接式螺丝接线端子台，让高压与脉冲连接更可靠、稳定，安全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同时支持继电器干接点、RS485接口、RJ45（TCP/IP）三种通信接口，实现跟中心报警主机的通信；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内置十进制拨码模块，地址支持0~99，当采用RS485通信方式时，相较传统二进制拨码更加的准确、高效；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支持一路第三防区扩展，该功能可以支持脉冲主机外接一路探测器，在综合技防场景中可以节省施工成本，提高布线效率；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支持输出一路DC12V 1A供电，给就近其他探测器提供供电，节省综合施工成本；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支持防区报警（短路、断路、触网）、防拆报警、系统故障报警等多种报警方式；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软件功能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防区：1个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配置方式：本地配置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异常状态监测：支持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硬件接口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电池接口：支持1路DC12V 1A蓄电池接入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报警输出：3路开关量输出（1路为防区报警输出，1路为外部开关量报警输出，1路主机掉电报警输出）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网络接口：1个RJ45接口 （10/100M）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报警输入：支持1组报警输入NO/NC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数字按键：支持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电气性能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功耗：30W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电源：脉冲主机：DC15V±10%，2A，30W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适配器：输入 AC100~240V，1.5A Max，50/60Hz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输出 DC15V，4A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有线连接：支持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显示屏：液晶显示屏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常规参数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外壳材质：ABS工程塑料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重量：2.2kg ±0.05kg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工作温度：﹣30°C -- +55°C，±10%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工作湿度：10％ - 90％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尺寸(宽x高x深)：380mm高×255mm宽×110mm深</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E9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AF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CA38">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4268">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69A2">
            <w:pPr>
              <w:jc w:val="left"/>
              <w:rPr>
                <w:rFonts w:hint="eastAsia" w:ascii="微软雅黑" w:hAnsi="微软雅黑" w:eastAsia="微软雅黑" w:cs="微软雅黑"/>
                <w:i w:val="0"/>
                <w:iCs w:val="0"/>
                <w:color w:val="000000"/>
                <w:sz w:val="16"/>
                <w:szCs w:val="16"/>
                <w:highlight w:val="none"/>
                <w:u w:val="none"/>
              </w:rPr>
            </w:pPr>
          </w:p>
        </w:tc>
      </w:tr>
      <w:tr w14:paraId="0F310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8E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553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周界报警室外工控箱</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2B70">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C15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设备材质：冷轧钢板、镀锌喷塑 ，壁厚 1.0mm±0.15mm；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尺寸（高宽深）：含帽沿（高*宽*深）：600mm*400mm*200mm；不含帽沿（高*宽*深）：600mm*400mm*180mm；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工控配置：2P 16A空开 1个；2P 20kA 防浪涌(防雷)模块 1个；5孔导轨式插座 3个；高压接线端子 2个；接地铜排 1个；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基础配置：十字铜芯一字锁，内置两条工业导轨（280mm/80mm）,一块多孔工业挂板（360mm*160mm），一条接地铜排；</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防水等级：IP65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支持壁挂、抱箍、落地等三种安装方式；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空气开关：额定电压(V) ：230/400 AC 额定电流(A)：16A 额定频率(Hz)：50/60HZ 数量：1个 （2P）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防浪涌/雷击保护器：额定电压：230V（相电压） 最大放电电流：20KA 响应时间：＜ 25ns 数量：1个（2P）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导轨式插座：额定电压：250V 额定电流：10A 数量：3个（5孔）</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高压接线模块：进线范围/10-35平方；出线范围/2.5-16平方； 适用电流/100A ；导件材质/黄铜镀锡； 端口数量/1进2出； 数量：2个</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78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5B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7443">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AD38">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0027">
            <w:pPr>
              <w:jc w:val="left"/>
              <w:rPr>
                <w:rFonts w:hint="eastAsia" w:ascii="微软雅黑" w:hAnsi="微软雅黑" w:eastAsia="微软雅黑" w:cs="微软雅黑"/>
                <w:i w:val="0"/>
                <w:iCs w:val="0"/>
                <w:color w:val="000000"/>
                <w:sz w:val="16"/>
                <w:szCs w:val="16"/>
                <w:highlight w:val="none"/>
                <w:u w:val="none"/>
              </w:rPr>
            </w:pPr>
          </w:p>
        </w:tc>
      </w:tr>
      <w:tr w14:paraId="6346E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5C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86C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避雷器（含支架）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4942">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B19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避雷器</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E3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CB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907C">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0AF1">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9A59">
            <w:pPr>
              <w:jc w:val="left"/>
              <w:rPr>
                <w:rFonts w:hint="eastAsia" w:ascii="微软雅黑" w:hAnsi="微软雅黑" w:eastAsia="微软雅黑" w:cs="微软雅黑"/>
                <w:i w:val="0"/>
                <w:iCs w:val="0"/>
                <w:color w:val="000000"/>
                <w:sz w:val="16"/>
                <w:szCs w:val="16"/>
                <w:highlight w:val="none"/>
                <w:u w:val="none"/>
              </w:rPr>
            </w:pPr>
          </w:p>
        </w:tc>
      </w:tr>
      <w:tr w14:paraId="208EB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F4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AB0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室外声光报警器（含支架，电源）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75D2">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E90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电子围栏专用， 请不要用于其他系统。</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声光报警器（带转动）/声压≥108分贝/电流≤250毫安/（含电源和支架）</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21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CA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C9CE">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7207">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8F4F">
            <w:pPr>
              <w:jc w:val="left"/>
              <w:rPr>
                <w:rFonts w:hint="eastAsia" w:ascii="微软雅黑" w:hAnsi="微软雅黑" w:eastAsia="微软雅黑" w:cs="微软雅黑"/>
                <w:i w:val="0"/>
                <w:iCs w:val="0"/>
                <w:color w:val="000000"/>
                <w:sz w:val="16"/>
                <w:szCs w:val="16"/>
                <w:highlight w:val="none"/>
                <w:u w:val="none"/>
              </w:rPr>
            </w:pPr>
          </w:p>
        </w:tc>
      </w:tr>
      <w:tr w14:paraId="45D12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27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D09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四/六线通用中间杆850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5688">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F56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4/6线通用中间杆； 材质：软性玻璃纤维；6线，口径10mm，杆长850mm</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2B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66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176</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0269">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4E0C">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BB94">
            <w:pPr>
              <w:jc w:val="left"/>
              <w:rPr>
                <w:rFonts w:hint="eastAsia" w:ascii="微软雅黑" w:hAnsi="微软雅黑" w:eastAsia="微软雅黑" w:cs="微软雅黑"/>
                <w:i w:val="0"/>
                <w:iCs w:val="0"/>
                <w:color w:val="000000"/>
                <w:sz w:val="16"/>
                <w:szCs w:val="16"/>
                <w:highlight w:val="none"/>
                <w:u w:val="none"/>
              </w:rPr>
            </w:pPr>
          </w:p>
        </w:tc>
      </w:tr>
      <w:tr w14:paraId="18690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5C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3C1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四线中间杆附件包850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DD99">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F78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4线中间杆附件包；  含中间杆帽子（口径10）1个、中间杆绝缘子4个、中间杆底座（热镀锌）1个</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4F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7E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176</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CCCE">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7A35">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3439">
            <w:pPr>
              <w:jc w:val="left"/>
              <w:rPr>
                <w:rFonts w:hint="eastAsia" w:ascii="微软雅黑" w:hAnsi="微软雅黑" w:eastAsia="微软雅黑" w:cs="微软雅黑"/>
                <w:i w:val="0"/>
                <w:iCs w:val="0"/>
                <w:color w:val="000000"/>
                <w:sz w:val="16"/>
                <w:szCs w:val="16"/>
                <w:highlight w:val="none"/>
                <w:u w:val="none"/>
              </w:rPr>
            </w:pPr>
          </w:p>
        </w:tc>
      </w:tr>
      <w:tr w14:paraId="2837C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35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0E0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四线承力杆附件包850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A274">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A53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4线承力杆经济型杆附件包；  含4个终端杆绝缘子（套管型）；1个终端杆帽子（32口径）；1个承力杆底座（热镀锌）</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99D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0F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CEA7">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8CC6">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0FAE">
            <w:pPr>
              <w:jc w:val="left"/>
              <w:rPr>
                <w:rFonts w:hint="eastAsia" w:ascii="微软雅黑" w:hAnsi="微软雅黑" w:eastAsia="微软雅黑" w:cs="微软雅黑"/>
                <w:i w:val="0"/>
                <w:iCs w:val="0"/>
                <w:color w:val="000000"/>
                <w:sz w:val="16"/>
                <w:szCs w:val="16"/>
                <w:highlight w:val="none"/>
                <w:u w:val="none"/>
              </w:rPr>
            </w:pPr>
          </w:p>
        </w:tc>
      </w:tr>
      <w:tr w14:paraId="0857A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013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D84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四线终端杆附件包850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CB6D">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A3E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4线终端杆经济型附件包；含终端杆绝缘子（套管型）4只；终端杆帽子（32口径）1个；终端杆底座（热镀锌）1套；收紧器4个；线线连接器8个</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50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F2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49</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656A">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4A72">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3B06">
            <w:pPr>
              <w:jc w:val="left"/>
              <w:rPr>
                <w:rFonts w:hint="eastAsia" w:ascii="微软雅黑" w:hAnsi="微软雅黑" w:eastAsia="微软雅黑" w:cs="微软雅黑"/>
                <w:i w:val="0"/>
                <w:iCs w:val="0"/>
                <w:color w:val="000000"/>
                <w:sz w:val="16"/>
                <w:szCs w:val="16"/>
                <w:highlight w:val="none"/>
                <w:u w:val="none"/>
              </w:rPr>
            </w:pPr>
          </w:p>
        </w:tc>
      </w:tr>
      <w:tr w14:paraId="39105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91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BD4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四线承力/终端通用杆850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8E39">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40F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4线经济型通用杆850；  经济型通用终端、承力杆；  4线终端杆，直径32mm,2.0mm 厚，高度：850mm；材质：铝合金管；表面处理：表面氧化；表面颜色：本色</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45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7D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4461">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7E05">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123C">
            <w:pPr>
              <w:jc w:val="left"/>
              <w:rPr>
                <w:rFonts w:hint="eastAsia" w:ascii="微软雅黑" w:hAnsi="微软雅黑" w:eastAsia="微软雅黑" w:cs="微软雅黑"/>
                <w:i w:val="0"/>
                <w:iCs w:val="0"/>
                <w:color w:val="000000"/>
                <w:sz w:val="16"/>
                <w:szCs w:val="16"/>
                <w:highlight w:val="none"/>
                <w:u w:val="none"/>
              </w:rPr>
            </w:pPr>
          </w:p>
        </w:tc>
      </w:tr>
      <w:tr w14:paraId="5A1DB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B3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E60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20#合金线400米/盘</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52EE">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181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20#合金线，优良导电率，抗氧化、耐腐蚀,去火功能，多股，每100米2欧姆阻值，400m一盘</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8D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58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1557">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94AD">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14CE">
            <w:pPr>
              <w:jc w:val="left"/>
              <w:rPr>
                <w:rFonts w:hint="eastAsia" w:ascii="微软雅黑" w:hAnsi="微软雅黑" w:eastAsia="微软雅黑" w:cs="微软雅黑"/>
                <w:i w:val="0"/>
                <w:iCs w:val="0"/>
                <w:color w:val="000000"/>
                <w:sz w:val="16"/>
                <w:szCs w:val="16"/>
                <w:highlight w:val="none"/>
                <w:u w:val="none"/>
              </w:rPr>
            </w:pPr>
          </w:p>
        </w:tc>
      </w:tr>
      <w:tr w14:paraId="2B5AD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A9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786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20#合金线100米/盘</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7A84">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4D3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20#合金线，优良导电率，抗氧化、耐腐蚀,去火功能，多股，每100米2欧姆阻值，100m一盘。</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EDA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147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5DA6">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CFC9">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5B5E">
            <w:pPr>
              <w:jc w:val="left"/>
              <w:rPr>
                <w:rFonts w:hint="eastAsia" w:ascii="微软雅黑" w:hAnsi="微软雅黑" w:eastAsia="微软雅黑" w:cs="微软雅黑"/>
                <w:i w:val="0"/>
                <w:iCs w:val="0"/>
                <w:color w:val="000000"/>
                <w:sz w:val="16"/>
                <w:szCs w:val="16"/>
                <w:highlight w:val="none"/>
                <w:u w:val="none"/>
              </w:rPr>
            </w:pPr>
          </w:p>
        </w:tc>
      </w:tr>
      <w:tr w14:paraId="0C9BC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96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049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高压绝缘导线100m/盘</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E758">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4B2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高压绝缘导线；合金线为内芯/高压绝缘层抗脉冲电压&gt;20KV/考虑现场可能有出入口、或围墙不连续处，100米/盘</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C5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2D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CECE">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DC748">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5A1F">
            <w:pPr>
              <w:jc w:val="left"/>
              <w:rPr>
                <w:rFonts w:hint="eastAsia" w:ascii="微软雅黑" w:hAnsi="微软雅黑" w:eastAsia="微软雅黑" w:cs="微软雅黑"/>
                <w:i w:val="0"/>
                <w:iCs w:val="0"/>
                <w:color w:val="000000"/>
                <w:sz w:val="16"/>
                <w:szCs w:val="16"/>
                <w:highlight w:val="none"/>
                <w:u w:val="none"/>
              </w:rPr>
            </w:pPr>
          </w:p>
        </w:tc>
      </w:tr>
      <w:tr w14:paraId="0AA88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D6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C2F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脉冲围栏警示牌</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1F29">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59F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警示牌；尺寸：100*200MM/采用稀土发光材料制造/在阴雨天气同样可吸光/双面印刷/夜光显示/每10米挂一块</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4EE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块</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3D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98DE">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2701">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6A36">
            <w:pPr>
              <w:jc w:val="left"/>
              <w:rPr>
                <w:rFonts w:hint="eastAsia" w:ascii="微软雅黑" w:hAnsi="微软雅黑" w:eastAsia="微软雅黑" w:cs="微软雅黑"/>
                <w:i w:val="0"/>
                <w:iCs w:val="0"/>
                <w:color w:val="000000"/>
                <w:sz w:val="16"/>
                <w:szCs w:val="16"/>
                <w:highlight w:val="none"/>
                <w:u w:val="none"/>
              </w:rPr>
            </w:pPr>
          </w:p>
        </w:tc>
      </w:tr>
      <w:tr w14:paraId="003F9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44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278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接地桩</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5549">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7A6F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电子围栏接地桩；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可用于将电子围栏主机和避雷器的接地；角钢，厚度2mm，长1.5米</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E9B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2C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2BF1">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D1F7">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A572">
            <w:pPr>
              <w:jc w:val="left"/>
              <w:rPr>
                <w:rFonts w:hint="eastAsia" w:ascii="微软雅黑" w:hAnsi="微软雅黑" w:eastAsia="微软雅黑" w:cs="微软雅黑"/>
                <w:i w:val="0"/>
                <w:iCs w:val="0"/>
                <w:color w:val="000000"/>
                <w:sz w:val="16"/>
                <w:szCs w:val="16"/>
                <w:highlight w:val="none"/>
                <w:u w:val="none"/>
              </w:rPr>
            </w:pPr>
          </w:p>
        </w:tc>
      </w:tr>
      <w:tr w14:paraId="1C5DB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32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D94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5米10mm²接地线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23F7">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2B3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用于连接避雷器和接地桩，长为5米，10mm²的铜导线，每根接地桩配置一根</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B3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14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43B4">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BC67">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12DA">
            <w:pPr>
              <w:jc w:val="left"/>
              <w:rPr>
                <w:rFonts w:hint="eastAsia" w:ascii="微软雅黑" w:hAnsi="微软雅黑" w:eastAsia="微软雅黑" w:cs="微软雅黑"/>
                <w:i w:val="0"/>
                <w:iCs w:val="0"/>
                <w:color w:val="000000"/>
                <w:sz w:val="16"/>
                <w:szCs w:val="16"/>
                <w:highlight w:val="none"/>
                <w:u w:val="none"/>
              </w:rPr>
            </w:pPr>
          </w:p>
        </w:tc>
      </w:tr>
      <w:tr w14:paraId="23AFE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2C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6DD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扩展模块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1678">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D29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【技术参数】</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1、设备类型：声光警号（声光报警器）</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2、警灯颜色：红色</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3、报警音量：105dB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4、硬件接口：红/黑线</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5、使用环境：室内/外（IP54室外防水）</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6、外壳材质：PC+ABS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7、安装方式：壁挂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8、工作电源：DC12V/220mA（宽压8-16V DC）</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9、工作温度：-20 °C 至 60 °C</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10、工作湿度：10% 至 90%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11、产品尺寸：140*134*33mm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【产品功能】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1、声光报警：提供警灯闪烁和报警音频输出，用于提示警情处置</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2、模式切换：支持关闭报警音频输出，仅提供警灯闪烁模式输出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3、内置水平仪：可通过内置水平仪调节安装角度，方便调试安装</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D4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3B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F1C2">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6002">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53F9">
            <w:pPr>
              <w:jc w:val="left"/>
              <w:rPr>
                <w:rFonts w:hint="eastAsia" w:ascii="微软雅黑" w:hAnsi="微软雅黑" w:eastAsia="微软雅黑" w:cs="微软雅黑"/>
                <w:i w:val="0"/>
                <w:iCs w:val="0"/>
                <w:color w:val="000000"/>
                <w:sz w:val="16"/>
                <w:szCs w:val="16"/>
                <w:highlight w:val="none"/>
                <w:u w:val="none"/>
              </w:rPr>
            </w:pPr>
          </w:p>
        </w:tc>
      </w:tr>
      <w:tr w14:paraId="1A6D6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CA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911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混合报警主机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7241">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A8F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1、操作系统：嵌入式Linux操作系统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2、防区数量：支持通过网络和RS485方式接入电子围栏、张力围栏（其中RS485扩展上限为64路，网络扩展上限为256路）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3、继电器数量：板载4路（距离50m以内），可通过继电器模块扩展至64路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4、日志容量：5000条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5、传输距离：网络传输无限制（局域网可达），RS485传输800米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6、硬件接口：RS485*1、RJ45*1，PSTN接口*1，4G模块接口*1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7、安装方式：壁挂安装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8、供电方式：AC220V（自带电源适配器）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9、设备功耗：裸机功耗≤5W，满载功耗≤25W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10、工作温度：–10℃～+55℃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11、工作湿度：10％--90％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12、使用环境：室内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13、产品尺寸：351.4*261.4*92.3mm（长*宽*厚）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【功能特性】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1、防区报警：支持探测器/紧急报警装置触发信号接收，进行入侵/紧急报警事件管理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2、断电报警：当市电断电时，设备可通过蓄电池正常工作8小时以上（需选配蓄电池），并将断电事件进行通知上报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3、外接键盘：支持9个报警键盘接入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4、报警管理：支持报警键盘、WEB、客户端软件、中心平台进行报警管理操作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5、报警指示：支持报警键盘、警号、继电器联动、中心平台上报等报警事件指示功能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6、联动控制：支持报警事件联动，平台控制继电器输出，实现场景化联动输出，实现个性化管理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8、事件上传：支持断网续传功能，设备离线状态下产生事件在与平台连接后会重新上传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9、子系统管理：支持32个子系统，实现对防区进行分区管理，支持外出布防、在家布防、撤防、消警、旁路等功能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10、防区设置：支持即时防区、延时防区、紧急防区、超时防区等场景化防区类型设置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11、配置管理：支持配置文件导出和导入功能，实现参数备份和快速移机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12、视频联动：支持关联4路视频，报警时自动截取7S事前和事后视频，推送至APP和发送邮件</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DB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80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4BB8">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4082">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DA1A">
            <w:pPr>
              <w:jc w:val="left"/>
              <w:rPr>
                <w:rFonts w:hint="eastAsia" w:ascii="微软雅黑" w:hAnsi="微软雅黑" w:eastAsia="微软雅黑" w:cs="微软雅黑"/>
                <w:i w:val="0"/>
                <w:iCs w:val="0"/>
                <w:color w:val="000000"/>
                <w:sz w:val="16"/>
                <w:szCs w:val="16"/>
                <w:highlight w:val="none"/>
                <w:u w:val="none"/>
              </w:rPr>
            </w:pPr>
          </w:p>
        </w:tc>
      </w:tr>
      <w:tr w14:paraId="0C0AB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1"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416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7B7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键盘及其他</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6DCB">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EC6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1、设备类型：混合报警主机专用控制键盘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2、通讯协议：RS485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3、传输距离：800m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4、使用环境：室内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5、显示屏：LCD（尺寸80X25mm）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6、操作按键：20个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7、指示灯：5个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8、蜂鸣器：支持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10、工作电源：DC12V/150mA（宽压9-16V DC）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11、工作温度：-10 °C 至 55 °C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12、工作湿度：10% 至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13、产品尺寸：150mm(长)*115mm(宽)*27mm(高)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【产品功能】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1、操作指令接收：支持对报警系统进行布防、撤防、消警、旁路、旁路恢复、紧急求助等操作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2、操作方式管理：支持密码、遥控器、刷卡方式对报警系统进行操作指令交互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3、报警状态指示：支持对报警系统防区报警状态进行实时指示，包括指示灯变化，提示音变化，文字内容变化等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4、系统状态展示：支持对报警系统运行状态进行展示，包括主电源状态、蓄电池状态、防拆状态、子系统布撤防状态，防区状态、扩展模块状态等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5、胁迫码功能：支持通过胁迫密码进行布撤防管理，并将警情进行中心上报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6、防区名称自定义：支持防区名称自定义配置，在键盘屏幕中展示对应文字内容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7、配置管理：支持通过键盘对报警主机进行参数配置，包括密码修改、防区类型配置、上报中心参数配置等</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A5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8A4B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7FDB">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7974">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98FF">
            <w:pPr>
              <w:jc w:val="left"/>
              <w:rPr>
                <w:rFonts w:hint="eastAsia" w:ascii="微软雅黑" w:hAnsi="微软雅黑" w:eastAsia="微软雅黑" w:cs="微软雅黑"/>
                <w:i w:val="0"/>
                <w:iCs w:val="0"/>
                <w:color w:val="000000"/>
                <w:sz w:val="16"/>
                <w:szCs w:val="16"/>
                <w:highlight w:val="none"/>
                <w:u w:val="none"/>
              </w:rPr>
            </w:pPr>
          </w:p>
        </w:tc>
      </w:tr>
      <w:tr w14:paraId="3D9CE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96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589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PVC阻燃穿线管</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49E9">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BC8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PVC穿线管</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FE1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7F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1450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9541">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3962">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0C7FD">
            <w:pPr>
              <w:jc w:val="left"/>
              <w:rPr>
                <w:rFonts w:hint="eastAsia" w:ascii="微软雅黑" w:hAnsi="微软雅黑" w:eastAsia="微软雅黑" w:cs="微软雅黑"/>
                <w:i w:val="0"/>
                <w:iCs w:val="0"/>
                <w:color w:val="000000"/>
                <w:sz w:val="16"/>
                <w:szCs w:val="16"/>
                <w:highlight w:val="none"/>
                <w:u w:val="none"/>
              </w:rPr>
            </w:pPr>
          </w:p>
        </w:tc>
      </w:tr>
      <w:tr w14:paraId="2110B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88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3E2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室外铠装光纤</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6F51">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251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8芯室外铠装单模光纤</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D9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C9D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CBD79">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2229">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2272">
            <w:pPr>
              <w:jc w:val="left"/>
              <w:rPr>
                <w:rFonts w:hint="eastAsia" w:ascii="微软雅黑" w:hAnsi="微软雅黑" w:eastAsia="微软雅黑" w:cs="微软雅黑"/>
                <w:i w:val="0"/>
                <w:iCs w:val="0"/>
                <w:color w:val="000000"/>
                <w:sz w:val="16"/>
                <w:szCs w:val="16"/>
                <w:highlight w:val="none"/>
                <w:u w:val="none"/>
              </w:rPr>
            </w:pPr>
          </w:p>
        </w:tc>
      </w:tr>
      <w:tr w14:paraId="431D7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79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89D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室外光纤盒</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B7BB">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066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4芯光纤盒</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E7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8B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91FF">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F0C2">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05C6">
            <w:pPr>
              <w:jc w:val="left"/>
              <w:rPr>
                <w:rFonts w:hint="eastAsia" w:ascii="微软雅黑" w:hAnsi="微软雅黑" w:eastAsia="微软雅黑" w:cs="微软雅黑"/>
                <w:i w:val="0"/>
                <w:iCs w:val="0"/>
                <w:color w:val="000000"/>
                <w:sz w:val="16"/>
                <w:szCs w:val="16"/>
                <w:highlight w:val="none"/>
                <w:u w:val="none"/>
              </w:rPr>
            </w:pPr>
          </w:p>
        </w:tc>
      </w:tr>
      <w:tr w14:paraId="2F0E9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4A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EF5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机架式光纤盒</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2A03">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6BA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24芯机架式光纤盒</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A3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79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4590">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5837">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76B4">
            <w:pPr>
              <w:jc w:val="left"/>
              <w:rPr>
                <w:rFonts w:hint="eastAsia" w:ascii="微软雅黑" w:hAnsi="微软雅黑" w:eastAsia="微软雅黑" w:cs="微软雅黑"/>
                <w:i w:val="0"/>
                <w:iCs w:val="0"/>
                <w:color w:val="000000"/>
                <w:sz w:val="16"/>
                <w:szCs w:val="16"/>
                <w:highlight w:val="none"/>
                <w:u w:val="none"/>
              </w:rPr>
            </w:pPr>
          </w:p>
        </w:tc>
      </w:tr>
      <w:tr w14:paraId="46930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13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C50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光纤跳线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6C2B">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4D2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SC 接口单模光纤 3米</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6A9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条</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44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B43C">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E3A5">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8672">
            <w:pPr>
              <w:jc w:val="left"/>
              <w:rPr>
                <w:rFonts w:hint="eastAsia" w:ascii="微软雅黑" w:hAnsi="微软雅黑" w:eastAsia="微软雅黑" w:cs="微软雅黑"/>
                <w:i w:val="0"/>
                <w:iCs w:val="0"/>
                <w:color w:val="000000"/>
                <w:sz w:val="16"/>
                <w:szCs w:val="16"/>
                <w:highlight w:val="none"/>
                <w:u w:val="none"/>
              </w:rPr>
            </w:pPr>
          </w:p>
        </w:tc>
      </w:tr>
      <w:tr w14:paraId="1B57F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21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5AF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耦合器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B297">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F69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SC</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4D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56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9962">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76EA">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2203">
            <w:pPr>
              <w:jc w:val="left"/>
              <w:rPr>
                <w:rFonts w:hint="eastAsia" w:ascii="微软雅黑" w:hAnsi="微软雅黑" w:eastAsia="微软雅黑" w:cs="微软雅黑"/>
                <w:i w:val="0"/>
                <w:iCs w:val="0"/>
                <w:color w:val="000000"/>
                <w:sz w:val="16"/>
                <w:szCs w:val="16"/>
                <w:highlight w:val="none"/>
                <w:u w:val="none"/>
              </w:rPr>
            </w:pPr>
          </w:p>
        </w:tc>
      </w:tr>
      <w:tr w14:paraId="3D297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F8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DFE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光纤熔接</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DF752">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638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光纤熔接及测试</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B1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1D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32</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EEA0">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3B93">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7566">
            <w:pPr>
              <w:jc w:val="left"/>
              <w:rPr>
                <w:rFonts w:hint="eastAsia" w:ascii="微软雅黑" w:hAnsi="微软雅黑" w:eastAsia="微软雅黑" w:cs="微软雅黑"/>
                <w:i w:val="0"/>
                <w:iCs w:val="0"/>
                <w:color w:val="000000"/>
                <w:sz w:val="16"/>
                <w:szCs w:val="16"/>
                <w:highlight w:val="none"/>
                <w:u w:val="none"/>
              </w:rPr>
            </w:pPr>
          </w:p>
        </w:tc>
      </w:tr>
      <w:tr w14:paraId="3E3AB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D3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B98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8A1A">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622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国标RVV 2*2.5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85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0F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1600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3C5C">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92EC">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427C">
            <w:pPr>
              <w:jc w:val="left"/>
              <w:rPr>
                <w:rFonts w:hint="eastAsia" w:ascii="微软雅黑" w:hAnsi="微软雅黑" w:eastAsia="微软雅黑" w:cs="微软雅黑"/>
                <w:i w:val="0"/>
                <w:iCs w:val="0"/>
                <w:color w:val="000000"/>
                <w:sz w:val="16"/>
                <w:szCs w:val="16"/>
                <w:highlight w:val="none"/>
                <w:u w:val="none"/>
              </w:rPr>
            </w:pPr>
          </w:p>
        </w:tc>
      </w:tr>
      <w:tr w14:paraId="0F367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B0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AD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KBG穿线管</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AC49">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2DF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Ø25镀锌穿线管；直通；</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B1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164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6E01">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2DB6">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E207">
            <w:pPr>
              <w:jc w:val="left"/>
              <w:rPr>
                <w:rFonts w:hint="eastAsia" w:ascii="微软雅黑" w:hAnsi="微软雅黑" w:eastAsia="微软雅黑" w:cs="微软雅黑"/>
                <w:i w:val="0"/>
                <w:iCs w:val="0"/>
                <w:color w:val="000000"/>
                <w:sz w:val="16"/>
                <w:szCs w:val="16"/>
                <w:highlight w:val="none"/>
                <w:u w:val="none"/>
              </w:rPr>
            </w:pPr>
          </w:p>
        </w:tc>
      </w:tr>
      <w:tr w14:paraId="2845C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AC9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8A4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PP阻燃波纹管</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2F29">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FBF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PP阻燃波纹管 耐酸碱，耐腐蚀，耐老化</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55C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4D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A8B8">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C948">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7BF2">
            <w:pPr>
              <w:jc w:val="left"/>
              <w:rPr>
                <w:rFonts w:hint="eastAsia" w:ascii="微软雅黑" w:hAnsi="微软雅黑" w:eastAsia="微软雅黑" w:cs="微软雅黑"/>
                <w:i w:val="0"/>
                <w:iCs w:val="0"/>
                <w:color w:val="000000"/>
                <w:sz w:val="16"/>
                <w:szCs w:val="16"/>
                <w:highlight w:val="none"/>
                <w:u w:val="none"/>
              </w:rPr>
            </w:pPr>
          </w:p>
        </w:tc>
      </w:tr>
      <w:tr w14:paraId="44878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62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73B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核心交换机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C025">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B65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三层网管交换机，交换容量598Gbps/5.98Tbps，包转发率108Mpps/144Mpps；24个10/100/1000Mbps自适应电口，4个SFP千兆光口；支持静态路由、聚合口、ACL、端口镜像等功能，支持虚拟化堆叠（需使用万兆光模块），支持小贝APP和云平台统一管理</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4A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C7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AEB4">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04AE">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49F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管家楼水厂已有核心交换机，但接口剩余数量不满足扩建要求， 增加一台接入交换机</w:t>
            </w:r>
          </w:p>
        </w:tc>
      </w:tr>
      <w:tr w14:paraId="3D540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3C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617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FFD9">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711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D9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F4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B0D6">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FD19">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11A0">
            <w:pPr>
              <w:jc w:val="left"/>
              <w:rPr>
                <w:rFonts w:hint="eastAsia" w:ascii="微软雅黑" w:hAnsi="微软雅黑" w:eastAsia="微软雅黑" w:cs="微软雅黑"/>
                <w:i w:val="0"/>
                <w:iCs w:val="0"/>
                <w:color w:val="000000"/>
                <w:sz w:val="16"/>
                <w:szCs w:val="16"/>
                <w:highlight w:val="none"/>
                <w:u w:val="none"/>
              </w:rPr>
            </w:pPr>
          </w:p>
        </w:tc>
      </w:tr>
      <w:tr w14:paraId="1656C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98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371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光纤收发器机架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8659">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18B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插槽数：16槽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电源输入：AC100～260V，50～60HZ</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直流输出：DC5V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纹波：≤50mv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噪音：≤50mv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电源保护：过压保护，过流保护，短路保护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工作温度：0～50℃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储存温度：-20℃～70℃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相对湿度：5%～95%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外型尺寸： 490*245*93mm（长×宽×高）</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BA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87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29D66">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15A5">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3C20">
            <w:pPr>
              <w:jc w:val="left"/>
              <w:rPr>
                <w:rFonts w:hint="eastAsia" w:ascii="微软雅黑" w:hAnsi="微软雅黑" w:eastAsia="微软雅黑" w:cs="微软雅黑"/>
                <w:i w:val="0"/>
                <w:iCs w:val="0"/>
                <w:color w:val="000000"/>
                <w:sz w:val="16"/>
                <w:szCs w:val="16"/>
                <w:highlight w:val="none"/>
                <w:u w:val="none"/>
              </w:rPr>
            </w:pPr>
          </w:p>
        </w:tc>
      </w:tr>
      <w:tr w14:paraId="6AF1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73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87E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6DA4">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7D4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F6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05B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70E3">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DA6D">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9642">
            <w:pPr>
              <w:jc w:val="center"/>
              <w:rPr>
                <w:rFonts w:hint="eastAsia" w:ascii="微软雅黑" w:hAnsi="微软雅黑" w:eastAsia="微软雅黑" w:cs="微软雅黑"/>
                <w:i w:val="0"/>
                <w:iCs w:val="0"/>
                <w:color w:val="000000"/>
                <w:sz w:val="16"/>
                <w:szCs w:val="16"/>
                <w:highlight w:val="none"/>
                <w:u w:val="none"/>
              </w:rPr>
            </w:pPr>
          </w:p>
        </w:tc>
      </w:tr>
      <w:tr w14:paraId="21DCE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E10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3C8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6BFD">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D54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9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6D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3805">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4763">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EA76">
            <w:pPr>
              <w:jc w:val="center"/>
              <w:rPr>
                <w:rFonts w:hint="eastAsia" w:ascii="微软雅黑" w:hAnsi="微软雅黑" w:eastAsia="微软雅黑" w:cs="微软雅黑"/>
                <w:i w:val="0"/>
                <w:iCs w:val="0"/>
                <w:color w:val="000000"/>
                <w:sz w:val="16"/>
                <w:szCs w:val="16"/>
                <w:highlight w:val="none"/>
                <w:u w:val="none"/>
              </w:rPr>
            </w:pPr>
          </w:p>
        </w:tc>
      </w:tr>
      <w:tr w14:paraId="31DB6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C4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35</w:t>
            </w:r>
          </w:p>
        </w:tc>
        <w:tc>
          <w:tcPr>
            <w:tcW w:w="86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36FD3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小计</w:t>
            </w:r>
          </w:p>
        </w:tc>
        <w:tc>
          <w:tcPr>
            <w:tcW w:w="684" w:type="dxa"/>
            <w:tcBorders>
              <w:top w:val="single" w:color="000000" w:sz="4" w:space="0"/>
              <w:left w:val="nil"/>
              <w:bottom w:val="single" w:color="000000" w:sz="4" w:space="0"/>
              <w:right w:val="single" w:color="000000" w:sz="4" w:space="0"/>
            </w:tcBorders>
            <w:shd w:val="clear" w:color="auto" w:fill="auto"/>
            <w:vAlign w:val="center"/>
          </w:tcPr>
          <w:p w14:paraId="00F0786D">
            <w:pP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75FA">
            <w:pPr>
              <w:jc w:val="left"/>
              <w:rPr>
                <w:rFonts w:hint="eastAsia" w:ascii="微软雅黑" w:hAnsi="微软雅黑" w:eastAsia="微软雅黑" w:cs="微软雅黑"/>
                <w:i w:val="0"/>
                <w:iCs w:val="0"/>
                <w:color w:val="000000"/>
                <w:sz w:val="16"/>
                <w:szCs w:val="16"/>
                <w:highlight w:val="none"/>
                <w:u w:val="none"/>
              </w:rPr>
            </w:pPr>
          </w:p>
        </w:tc>
      </w:tr>
      <w:tr w14:paraId="0B833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nil"/>
              <w:right w:val="single" w:color="000000" w:sz="4" w:space="0"/>
            </w:tcBorders>
            <w:shd w:val="clear" w:color="auto" w:fill="auto"/>
            <w:vAlign w:val="center"/>
          </w:tcPr>
          <w:p w14:paraId="3A8AD31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二、</w:t>
            </w:r>
          </w:p>
        </w:tc>
        <w:tc>
          <w:tcPr>
            <w:tcW w:w="933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AF67B5D">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周界摄像头</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7273">
            <w:pPr>
              <w:jc w:val="left"/>
              <w:rPr>
                <w:rFonts w:hint="eastAsia" w:ascii="微软雅黑" w:hAnsi="微软雅黑" w:eastAsia="微软雅黑" w:cs="微软雅黑"/>
                <w:i w:val="0"/>
                <w:iCs w:val="0"/>
                <w:color w:val="000000"/>
                <w:sz w:val="16"/>
                <w:szCs w:val="16"/>
                <w:highlight w:val="none"/>
                <w:u w:val="none"/>
              </w:rPr>
            </w:pPr>
          </w:p>
        </w:tc>
      </w:tr>
      <w:tr w14:paraId="1A5C2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0" w:hRule="atLeast"/>
        </w:trPr>
        <w:tc>
          <w:tcPr>
            <w:tcW w:w="700" w:type="dxa"/>
            <w:tcBorders>
              <w:top w:val="single" w:color="000000" w:sz="4" w:space="0"/>
              <w:left w:val="single" w:color="000000" w:sz="4" w:space="0"/>
              <w:bottom w:val="nil"/>
              <w:right w:val="single" w:color="000000" w:sz="4" w:space="0"/>
            </w:tcBorders>
            <w:shd w:val="clear" w:color="auto" w:fill="auto"/>
            <w:vAlign w:val="center"/>
          </w:tcPr>
          <w:p w14:paraId="7115F0C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6BD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周界网络摄像机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D701">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EE2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7T轻智能筒型摄像机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F1.0超大光圈镜头，日夜臻全彩成像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采用深度学习算法，以海量图片及视频资源为路基，通过机器自身提取目标特征，形成深层可供学习的图像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支持智能资源模式切换：人脸抓拍（默认），smart事件，热度图，人数统计，道路监控，普通监控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鳞镜补光：采用隐藏式灯珠设计，通过鳞甲密布排列形成的镜面反射出光，见光不见灯；增加发光面积，降低聚光效果，补光柔和均匀</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Smart录像：支持断网续传功能保证录像不丢失，配合Smart NVR/SD卡实现事件录像的智能后检索、分析和浓缩播放，Smart编码：支持低码率、低延时、ROI感兴趣区域增强编码、SVC自适应编码技术，支持Smart265编码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系统功能：支持开放型网络视频接口、ISAPI、GB/T28181和OTAP；支持三码流技术，支持同时20路取流；支持萤石平台接入</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宽动态：支持宽动态范围达120 dB，适合逆光环境监控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图像相关：支持400万像素@60 fps实时帧率，图像更流畅；支持透雾，电子防抖，并具有多种白平衡模式，适合各种场景需求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安全服务：支持三级用户权限管理，支持授权的用户和密码，支持IP地址过滤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接口功能：内置MicroSD/MicroSDHC/MicroSDXC插槽，最大支持512 GB；支持10 M/100 M自适应网口；支持一对报警输入输出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人数统计模式：a)人员统计：支持实时报警，人数变化报警和拥堵等级变化报警，并支持人数异常和停留时间异常报警，b)异常行为检测：支持离岗检测，以及在离岗检测报警，c)区域关注度：支持区域人数检测、停留时长检测、实时数据上传，并支持区域人数分析和队列状态分析展示，d)热度图：支持设备上报和平台查询方式获取信息，并支持上报伪彩图背景大图</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道路监控模式：a)车辆检测：支持车牌识别并抓拍，车牌号码/车身颜色/车辆类型/车辆品牌，b)混行检测：检测正向或逆向行驶的车辆以及行人和非机动车，自动对车辆牌照进行识别，可以抓拍无车牌的车辆图片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事件模式：越界侦测，区域入侵侦测，进入/离开区域侦测，徘徊侦测，人员聚集侦测，快速运动侦测，停车侦测，物品遗留/拿取侦测，场景变更侦测，音频陡升/陡降侦测，音频有无侦测，虚焦侦测。其中越界侦测，区域入侵侦测，进入/离开区域侦测为深度学习算法，支持联动声光预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人脸抓拍模式：a)支持对运动人脸进行检测、抓拍、评分、筛选，输出优选的人脸，b)支持人脸去误报、快速抓拍人脸，c)支持快速抓拍和优选抓拍两种模式，d)最多同时检测30张人脸，e)支持人脸去重</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支持电量检测：支持设备功耗检测，支持设备功耗报表展示，报表类型支持日报表和周报表（默认日报表，单位瓦时（W·h））</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传感器类型：1/1.8" Progressive Scan CMOS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最低照度：彩色：0.0005 Lux @（F1.0，AGC ON），0 Lux with Light</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宽动态：120 dB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焦距&amp;视场角：2.8~4 mm：水平视场角：110.0°~70.7°，垂直视场角：59.3°~39.2°，对角视场角：130.6°~81.8°</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4~6 mm：水平视场角：92.9°~56.1°，垂直视场角：46.4°~30.2°，对角视场角：112.7°~65.8°</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6~9 mm：水平视场角：57.4°~36.3°，垂直视场角：30.4°~19.8°，对角视场角：67.4°~42.2°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补光灯类型：鳞镜补光，暖白光，4颗灯珠</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补光距离：白光：普通监控：最远可达30 m，人脸抓拍/识别：最远可达5 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防补光过曝：支持防补光过曝开启和关闭，开启下支持自动和手动，手动支持根据距离等级控制补光灯亮度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最大图像尺寸：2560 × 1440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视频压缩标准：H.265/H.264/MJPEG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网络：1个RJ45 10 M/100 M自适应以太网口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SD卡扩展：内置MicroSD/MicroSDHC/MicroSDXC 插槽，最大支持512GB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音频：1路输入（Line in），1路输出（Line out），2个内置麦克风，1个内置扬声器</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报警：1路输入，1路输出（报警输入支持开关量，报警输出最大支持DC12 V，30 mA）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复位：支持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电源输出：DC12 V，100 mA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接口类型：外甩线</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RS-485：1个RS-485接口，半双工模式，支持自适应HIKVISION，PELCO-P和PELCO-D协议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产品尺寸：180.3 × 99.2 × 94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包装尺寸：315 × 137 × 141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设备重量：750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带包装重量：1080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存储温湿度：-30 ℃~60 ℃，湿度小于95%（无凝结）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启动和工作温湿度：-30 ℃~60 ℃，湿度小于95%（无凝结）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电流及功耗：DC：12 V，1.5 A，最大功耗：18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PoE：802.3at，42.5 V~57 V，0.49 A~0.36 A，最大功耗：20.6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供电方式：DC：12 V ± 20%，支持防反接保护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PoE：802.3at，Type 2，Class 4</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电源接口类型：3芯电源接口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线缆长度：35 cm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防护：IP67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D3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C6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BB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18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6705">
            <w:pPr>
              <w:keepNext w:val="0"/>
              <w:keepLines w:val="0"/>
              <w:widowControl/>
              <w:suppressLineNumbers w:val="0"/>
              <w:jc w:val="left"/>
              <w:textAlignment w:val="center"/>
              <w:rPr>
                <w:rFonts w:hint="eastAsia" w:ascii="微软雅黑" w:hAnsi="微软雅黑" w:eastAsia="微软雅黑" w:cs="微软雅黑"/>
                <w:b/>
                <w:bCs/>
                <w:i w:val="0"/>
                <w:iCs w:val="0"/>
                <w:color w:val="FF0000"/>
                <w:sz w:val="16"/>
                <w:szCs w:val="16"/>
                <w:highlight w:val="none"/>
                <w:u w:val="none"/>
              </w:rPr>
            </w:pPr>
            <w:r>
              <w:rPr>
                <w:rFonts w:hint="eastAsia" w:ascii="微软雅黑" w:hAnsi="微软雅黑" w:eastAsia="微软雅黑" w:cs="微软雅黑"/>
                <w:b/>
                <w:bCs/>
                <w:i w:val="0"/>
                <w:iCs w:val="0"/>
                <w:snapToGrid w:val="0"/>
                <w:color w:val="000000"/>
                <w:kern w:val="0"/>
                <w:sz w:val="16"/>
                <w:szCs w:val="16"/>
                <w:highlight w:val="none"/>
                <w:u w:val="none"/>
                <w:lang w:val="en-US" w:eastAsia="zh-CN" w:bidi="ar"/>
              </w:rPr>
              <w:t>此项由甲方集采，乙方安装</w:t>
            </w:r>
          </w:p>
        </w:tc>
      </w:tr>
      <w:tr w14:paraId="193B9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91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A89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硬盘</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F477">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2CF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10TB容量，3.5英寸，SATA3.0接口，5400RPM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空气盘， CMR传统磁记录</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传输速率215MB/s，流畅存储视频有效防止丢帧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高级格式（AF）512e扇区技术，保障硬盘扇区4K对齐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满足数据严苛的7*24小时运行可靠性、安全性的需求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支持3年有限质保服务</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适用海拔高度范围-305m至3050m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标称容量：10TB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外形规格：3.5-inch</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接口类型：SATA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刻录技术：CMR</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转速：5400RPM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缓存：256MB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最大读取速度：215MB/s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接口传输速率（最大值）：6.0Gb/s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平均读写功率（W）：5.3W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加载/卸载周期：600,000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MTBF：1,000,000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年负荷（TB/年）：180TB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工作状态温度(°C)：0-65℃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尺寸：147mm(L)×101.6mm(W)×26.1mm(H)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41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94C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090D">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A964">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704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1、水厂现有录像机路数已满足扩展要求，无需在增加</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2、64路 摄像头保存90天，需要197T，开启smart265需要131TB;现有10T*4;6T*6;在增加10T*6；共计136TB</w:t>
            </w:r>
          </w:p>
        </w:tc>
      </w:tr>
      <w:tr w14:paraId="40CF2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30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CF1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壁装监控立杆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7F94">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2D4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L型壁装监控立杆 ；双枪支架</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38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A4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DE26">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4E19">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ADBF">
            <w:pPr>
              <w:jc w:val="left"/>
              <w:rPr>
                <w:rFonts w:hint="eastAsia" w:ascii="微软雅黑" w:hAnsi="微软雅黑" w:eastAsia="微软雅黑" w:cs="微软雅黑"/>
                <w:i w:val="0"/>
                <w:iCs w:val="0"/>
                <w:color w:val="000000"/>
                <w:sz w:val="16"/>
                <w:szCs w:val="16"/>
                <w:highlight w:val="none"/>
                <w:u w:val="none"/>
              </w:rPr>
            </w:pPr>
          </w:p>
        </w:tc>
      </w:tr>
      <w:tr w14:paraId="39006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75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78F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室外防水箱</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C3B2">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E4F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漏电保护器*3；插牌；开关电源；防雷器；· 工控配置：2P 16A空开 1个；2P 20kA 防浪涌(防雷)模块 1个；5孔导轨式插座 3个；高压接线端子 2个；接地铜排 1个；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基础配置：十字铜芯一字锁，内置两条工业导轨（280mm/80mm）,一块多孔工业挂板（360mm*160mm），一条接地铜排；</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防水等级：IP65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支持壁挂、抱箍、落地等三种安装方式；</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C85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CF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0704">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DC7E">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8D18">
            <w:pPr>
              <w:jc w:val="left"/>
              <w:rPr>
                <w:rFonts w:hint="eastAsia" w:ascii="微软雅黑" w:hAnsi="微软雅黑" w:eastAsia="微软雅黑" w:cs="微软雅黑"/>
                <w:i w:val="0"/>
                <w:iCs w:val="0"/>
                <w:color w:val="000000"/>
                <w:sz w:val="16"/>
                <w:szCs w:val="16"/>
                <w:highlight w:val="none"/>
                <w:u w:val="none"/>
              </w:rPr>
            </w:pPr>
          </w:p>
        </w:tc>
      </w:tr>
      <w:tr w14:paraId="4E72F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9FF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FE5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非屏蔽网线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21FD6">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F11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国标 超五类非屏蔽网线</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ED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箱</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A9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CC19">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906B">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4D88">
            <w:pPr>
              <w:jc w:val="left"/>
              <w:rPr>
                <w:rFonts w:hint="eastAsia" w:ascii="微软雅黑" w:hAnsi="微软雅黑" w:eastAsia="微软雅黑" w:cs="微软雅黑"/>
                <w:i w:val="0"/>
                <w:iCs w:val="0"/>
                <w:color w:val="000000"/>
                <w:sz w:val="16"/>
                <w:szCs w:val="16"/>
                <w:highlight w:val="none"/>
                <w:u w:val="none"/>
              </w:rPr>
            </w:pPr>
          </w:p>
        </w:tc>
      </w:tr>
      <w:tr w14:paraId="5881E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2F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728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8口POE接入交换机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AD62">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1C9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个10/100/1000Mbps电口（支持PoE/PoE+），1个10/100/1000Mbps电口。整机POE最大输出功率120W，支持端口状态显示、端口流量统计、PoE端口输出功率状态、端口双工/协商速率配置、流控配置、PoE输出开关，支持广播风暴抑制、端口限速、端口隔离，支持端口镜像、环路保护、线缆检测支持EWEB/APP/MACC管理</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F9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FA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96D8">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8F41">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0690">
            <w:pPr>
              <w:jc w:val="left"/>
              <w:rPr>
                <w:rFonts w:hint="eastAsia" w:ascii="微软雅黑" w:hAnsi="微软雅黑" w:eastAsia="微软雅黑" w:cs="微软雅黑"/>
                <w:i w:val="0"/>
                <w:iCs w:val="0"/>
                <w:color w:val="000000"/>
                <w:sz w:val="16"/>
                <w:szCs w:val="16"/>
                <w:highlight w:val="none"/>
                <w:u w:val="none"/>
              </w:rPr>
            </w:pPr>
          </w:p>
        </w:tc>
      </w:tr>
      <w:tr w14:paraId="6F219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CF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0A8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4口POE交换机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2007">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D75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个10/100/1000Mbps电口（支持PoE/PoE+），1个10/100/1000Mbps电口。整机POE最大输出功率54W，支持端口状态显示、端口流量统计、PoE端口输出功率状态、端口双工/协商速率配置、流控配置、PoE输出开关，支持广播风暴抑制、端口限速、端口隔离，支持端口镜像、环路保护、线缆检测，支持EWEB/APP/MACC管理。</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D5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C5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BF9F">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4CD3">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F53C">
            <w:pPr>
              <w:jc w:val="left"/>
              <w:rPr>
                <w:rFonts w:hint="eastAsia" w:ascii="微软雅黑" w:hAnsi="微软雅黑" w:eastAsia="微软雅黑" w:cs="微软雅黑"/>
                <w:i w:val="0"/>
                <w:iCs w:val="0"/>
                <w:color w:val="000000"/>
                <w:sz w:val="16"/>
                <w:szCs w:val="16"/>
                <w:highlight w:val="none"/>
                <w:u w:val="none"/>
              </w:rPr>
            </w:pPr>
          </w:p>
        </w:tc>
      </w:tr>
      <w:tr w14:paraId="29681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CD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358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F84D">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E31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B8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81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6C6C">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9C68">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E28A">
            <w:pPr>
              <w:jc w:val="left"/>
              <w:rPr>
                <w:rFonts w:hint="eastAsia" w:ascii="微软雅黑" w:hAnsi="微软雅黑" w:eastAsia="微软雅黑" w:cs="微软雅黑"/>
                <w:i w:val="0"/>
                <w:iCs w:val="0"/>
                <w:color w:val="000000"/>
                <w:sz w:val="16"/>
                <w:szCs w:val="16"/>
                <w:highlight w:val="none"/>
                <w:u w:val="none"/>
              </w:rPr>
            </w:pPr>
          </w:p>
        </w:tc>
      </w:tr>
      <w:tr w14:paraId="3ECA1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91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FD9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9693">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E76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063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9E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58E0">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D9B7">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1D44">
            <w:pPr>
              <w:jc w:val="center"/>
              <w:rPr>
                <w:rFonts w:hint="eastAsia" w:ascii="微软雅黑" w:hAnsi="微软雅黑" w:eastAsia="微软雅黑" w:cs="微软雅黑"/>
                <w:i w:val="0"/>
                <w:iCs w:val="0"/>
                <w:color w:val="000000"/>
                <w:sz w:val="16"/>
                <w:szCs w:val="16"/>
                <w:highlight w:val="none"/>
                <w:u w:val="none"/>
              </w:rPr>
            </w:pPr>
          </w:p>
        </w:tc>
      </w:tr>
      <w:tr w14:paraId="28EAA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AA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9D6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5560">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5DB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00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597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C6A6">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0BB5">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52CE">
            <w:pPr>
              <w:jc w:val="center"/>
              <w:rPr>
                <w:rFonts w:hint="eastAsia" w:ascii="微软雅黑" w:hAnsi="微软雅黑" w:eastAsia="微软雅黑" w:cs="微软雅黑"/>
                <w:i w:val="0"/>
                <w:iCs w:val="0"/>
                <w:color w:val="000000"/>
                <w:sz w:val="16"/>
                <w:szCs w:val="16"/>
                <w:highlight w:val="none"/>
                <w:u w:val="none"/>
              </w:rPr>
            </w:pPr>
          </w:p>
        </w:tc>
      </w:tr>
      <w:tr w14:paraId="07B18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23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86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01FF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小计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DA9E">
            <w:pP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6F00">
            <w:pPr>
              <w:jc w:val="left"/>
              <w:rPr>
                <w:rFonts w:hint="eastAsia" w:ascii="微软雅黑" w:hAnsi="微软雅黑" w:eastAsia="微软雅黑" w:cs="微软雅黑"/>
                <w:i w:val="0"/>
                <w:iCs w:val="0"/>
                <w:color w:val="000000"/>
                <w:sz w:val="16"/>
                <w:szCs w:val="16"/>
                <w:highlight w:val="none"/>
                <w:u w:val="none"/>
              </w:rPr>
            </w:pPr>
          </w:p>
        </w:tc>
      </w:tr>
      <w:tr w14:paraId="427FB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nil"/>
              <w:right w:val="single" w:color="000000" w:sz="4" w:space="0"/>
            </w:tcBorders>
            <w:shd w:val="clear" w:color="auto" w:fill="auto"/>
            <w:vAlign w:val="center"/>
          </w:tcPr>
          <w:p w14:paraId="3D78EB4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三、</w:t>
            </w:r>
          </w:p>
        </w:tc>
        <w:tc>
          <w:tcPr>
            <w:tcW w:w="933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D8A94C9">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园区监控</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A97F">
            <w:pPr>
              <w:jc w:val="left"/>
              <w:rPr>
                <w:rFonts w:hint="eastAsia" w:ascii="微软雅黑" w:hAnsi="微软雅黑" w:eastAsia="微软雅黑" w:cs="微软雅黑"/>
                <w:i w:val="0"/>
                <w:iCs w:val="0"/>
                <w:color w:val="000000"/>
                <w:sz w:val="16"/>
                <w:szCs w:val="16"/>
                <w:highlight w:val="none"/>
                <w:u w:val="none"/>
              </w:rPr>
            </w:pPr>
          </w:p>
        </w:tc>
      </w:tr>
      <w:tr w14:paraId="09692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0B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C87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网络摄像机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A2DE">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036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最大图像尺寸：2560 × 1440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主码流帧率分辨率：50 Hz：25 fps（2560 × 1440 , 1920 × 1080，1280 × 720）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子码流帧率分辨率：50 Hz：25 fps（1280 × 720，640 × 480，640 × 360）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视频压缩标准：主码流：H.265/H.264，支持超级智能编码 子码流：H.265/H.264/MJPEG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视频压缩码率：32 Kbps~8 Mbps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H.264编码类型：BaseLine Profile/Main Profile/High Profile</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H.265编码类型：Main Profile</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码率控制：定码率，变码率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SVC：支持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ROI：支持主码流设置1个固定区域</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事件</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报警触发：移动侦测（支持人形/车形侦测），异常</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Smart事件：区域入侵侦测，越界侦测，进入区域侦测，离开区域侦测（支持人形、车形检测）</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音频压缩标准：G.711ulaw/G.711alaw/G.722.1/G.726/MP2L2/PCM/AAC-LC/MP3</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音频压缩码率：64 Kbps（G.711ulaw/G.711alaw）/16 Kbps（G.722.1）/16 Kbps（G.726）/32~160 Kbps（MP2L2）/16~64 Kbps（AAC-LC）/8~160 Kbps（MP3）</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音频采样率：8 kHz/16 kHz</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音频环境噪声过滤：支持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网络传输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网络协议：TCP/IP，ICMP，HTTP，FTP，DHCP，DNS，RTP，RTSP，RTCP，NTP，SMTP，IGMP，QoS，UDP，Bonjour，HTTPS，IPv6，IPv4</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同时预览路数：最多6路</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接口协议（API）：开放型网络视频接口，ISAPI，SDK，GB28181</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用户管理：最多32个用户 可分3级用户权限管理：管理员，操作员，普通用户</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客户端：iVMS-4200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浏览器：使用本地服务预览：Chrome 91+，Firefox 88+，Edge 91+</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图像设置：镜像，饱和度，亮度，对比度，锐度，AGC，白平衡通过客户端或者浏览器可调</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日夜转换模式：白天，夜晚，自动，定时切换</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图像增强：背光补偿，强光抑制，3D数字降噪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音频：支持1个内置麦克风 支持1个内置扬声器</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网络：1个RJ45 10 M/100 M自适应以太网口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摄像机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传感器类型：1/1.8" Progressive Scan CMOS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最低照度：彩色：0.0005 Lux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快门：1 s~1/100,000 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宽动态：120 dB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镜头</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镜头尺寸接口：M16</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光圈类型：固定光圈</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最大光圈数：F1.0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景深范围：2.8 mm：2.4 m~∞ 4 mm：3.1 m~∞ 6 mm：6.8 m~∞ 8 mm：8.8 m~135 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焦距&amp;视场角：2.8 mm，水平视场角：105.7°，垂直视场角：57.2°，对角视场角：124.5° 4 mm，水平视场角：88.7°，垂直视场角：44.7°，对角视场角：107.5° 6 mm，水平视场角：55.2°，垂直视场角：29.3°，对角视场角：64.6° 8 mm，水平视场角：41°，垂直视场角：23°，对角视场角：47°</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补光距离：最远可达30 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防补光过曝：支持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补光灯类型：柔光灯</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防护：IP67</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一般规格</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联动方式：上传FTP，上传中心，邮件，抓图，声音报警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通用功能：心跳，密码保护，水印技术，像素计算器，视频遮盖</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恢复出厂设置：支持客户端或浏览器恢复</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启动和工作温湿度：-30 °C~60 °C，湿度小于95%（无凝结）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供电方式：DC：12 V ± 25%，支持防反接保护 PoE：IEEE 802.3af，CLASS 3 *DWD型号不支持PoE</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电流及功耗：3T47SWD型号： DC：12 V，0.75 A，最大功耗：9 W PoE：IEEE 802.3af，CLASS 3，最大功耗：10.5 W 3T47SDWD型号： DC：12 V，0.75 A，最大功耗：9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电源接口类型：Ø5.5 mm圆口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产品尺寸：2.8 mm焦距段型号： 182.8 × 92.7 × 87.6 mm 其他焦距段型号： 189.4 × 92.7 × 87.6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包装尺寸：235 × 120 × 125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设备重量：540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带包装重量：670 g</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2B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AC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75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B3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DDEC">
            <w:pPr>
              <w:keepNext w:val="0"/>
              <w:keepLines w:val="0"/>
              <w:widowControl/>
              <w:suppressLineNumbers w:val="0"/>
              <w:jc w:val="left"/>
              <w:textAlignment w:val="center"/>
              <w:rPr>
                <w:rFonts w:hint="eastAsia" w:ascii="微软雅黑" w:hAnsi="微软雅黑" w:eastAsia="微软雅黑" w:cs="微软雅黑"/>
                <w:b/>
                <w:bCs/>
                <w:i w:val="0"/>
                <w:iCs w:val="0"/>
                <w:color w:val="FF0000"/>
                <w:sz w:val="16"/>
                <w:szCs w:val="16"/>
                <w:highlight w:val="none"/>
                <w:u w:val="none"/>
              </w:rPr>
            </w:pPr>
            <w:r>
              <w:rPr>
                <w:rFonts w:hint="eastAsia" w:ascii="微软雅黑" w:hAnsi="微软雅黑" w:eastAsia="微软雅黑" w:cs="微软雅黑"/>
                <w:b/>
                <w:bCs/>
                <w:i w:val="0"/>
                <w:iCs w:val="0"/>
                <w:snapToGrid w:val="0"/>
                <w:color w:val="000000"/>
                <w:kern w:val="0"/>
                <w:sz w:val="16"/>
                <w:szCs w:val="16"/>
                <w:highlight w:val="none"/>
                <w:u w:val="none"/>
                <w:lang w:val="en-US" w:eastAsia="zh-CN" w:bidi="ar"/>
              </w:rPr>
              <w:t>此项由甲方集采，乙方安装，存储和周界公用一台，超出部分借用现有NVR</w:t>
            </w:r>
          </w:p>
        </w:tc>
      </w:tr>
      <w:tr w14:paraId="67584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07C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CD4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落地监控立杆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9627">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EAF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3.5米监控立杆</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B9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3F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89DB">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78EB">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95E5">
            <w:pPr>
              <w:jc w:val="left"/>
              <w:rPr>
                <w:rFonts w:hint="eastAsia" w:ascii="微软雅黑" w:hAnsi="微软雅黑" w:eastAsia="微软雅黑" w:cs="微软雅黑"/>
                <w:i w:val="0"/>
                <w:iCs w:val="0"/>
                <w:color w:val="000000"/>
                <w:sz w:val="16"/>
                <w:szCs w:val="16"/>
                <w:highlight w:val="none"/>
                <w:u w:val="none"/>
              </w:rPr>
            </w:pPr>
          </w:p>
        </w:tc>
      </w:tr>
      <w:tr w14:paraId="61921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59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F98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监控立杆预埋件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31D7">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3CA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立杆预埋件，27*26*60cm ；螺丝：14mm；对角：205 240 260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89D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FD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6FB3">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F042">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2679">
            <w:pPr>
              <w:jc w:val="left"/>
              <w:rPr>
                <w:rFonts w:hint="eastAsia" w:ascii="微软雅黑" w:hAnsi="微软雅黑" w:eastAsia="微软雅黑" w:cs="微软雅黑"/>
                <w:i w:val="0"/>
                <w:iCs w:val="0"/>
                <w:color w:val="000000"/>
                <w:sz w:val="16"/>
                <w:szCs w:val="16"/>
                <w:highlight w:val="none"/>
                <w:u w:val="none"/>
              </w:rPr>
            </w:pPr>
          </w:p>
        </w:tc>
      </w:tr>
      <w:tr w14:paraId="216D7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2CC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939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室外防水箱</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036F">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76D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漏电保护器*3；插牌；开关电源；防雷器；· 工控配置：2P 16A空开 1个；2P 20kA 防浪涌(防雷)模块 1个；5孔导轨式插座 3个；高压接线端子 2个；接地铜排 1个；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基础配置：十字铜芯一字锁，内置两条工业导轨（280mm/80mm）,一块多孔工业挂板（360mm*160mm），一条接地铜排；</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防水等级：IP65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支持壁挂、抱箍、落地等三种安装方式；</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75A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14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AA2B">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E1BC">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3F12">
            <w:pPr>
              <w:jc w:val="left"/>
              <w:rPr>
                <w:rFonts w:hint="eastAsia" w:ascii="微软雅黑" w:hAnsi="微软雅黑" w:eastAsia="微软雅黑" w:cs="微软雅黑"/>
                <w:i w:val="0"/>
                <w:iCs w:val="0"/>
                <w:color w:val="000000"/>
                <w:sz w:val="16"/>
                <w:szCs w:val="16"/>
                <w:highlight w:val="none"/>
                <w:u w:val="none"/>
              </w:rPr>
            </w:pPr>
          </w:p>
        </w:tc>
      </w:tr>
      <w:tr w14:paraId="2B344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25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3D6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室外铠装光纤</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E694">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E0B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8芯室外铠装单模光纤</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44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3E4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450E">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4BD3">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5A74">
            <w:pPr>
              <w:jc w:val="left"/>
              <w:rPr>
                <w:rFonts w:hint="eastAsia" w:ascii="微软雅黑" w:hAnsi="微软雅黑" w:eastAsia="微软雅黑" w:cs="微软雅黑"/>
                <w:i w:val="0"/>
                <w:iCs w:val="0"/>
                <w:color w:val="000000"/>
                <w:sz w:val="16"/>
                <w:szCs w:val="16"/>
                <w:highlight w:val="none"/>
                <w:u w:val="none"/>
              </w:rPr>
            </w:pPr>
          </w:p>
        </w:tc>
      </w:tr>
      <w:tr w14:paraId="5E73D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13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C05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96B1">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632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国标RVV 2*2.5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FB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8C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A061">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7910">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E0FE">
            <w:pPr>
              <w:jc w:val="left"/>
              <w:rPr>
                <w:rFonts w:hint="eastAsia" w:ascii="微软雅黑" w:hAnsi="微软雅黑" w:eastAsia="微软雅黑" w:cs="微软雅黑"/>
                <w:i w:val="0"/>
                <w:iCs w:val="0"/>
                <w:color w:val="000000"/>
                <w:sz w:val="16"/>
                <w:szCs w:val="16"/>
                <w:highlight w:val="none"/>
                <w:u w:val="none"/>
              </w:rPr>
            </w:pPr>
          </w:p>
        </w:tc>
      </w:tr>
      <w:tr w14:paraId="79F92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998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4C5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8口POE接入交换机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3865">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A45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个10/100/1000Mbps电口（支持PoE/PoE+），1个10/100/1000Mbps电口。整机POE最大输出功率120W，支持端口状态显示、端口流量统计、PoE端口输出功率状态、端口双工/协商速率配置、流控配置、PoE输出开关，支持广播风暴抑制、端口限速、端口隔离，支持端口镜像、环路保护、线缆检测支持EWEB/APP/MACC管理</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333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6E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7569">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4D70">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A7F5">
            <w:pPr>
              <w:jc w:val="left"/>
              <w:rPr>
                <w:rFonts w:hint="eastAsia" w:ascii="微软雅黑" w:hAnsi="微软雅黑" w:eastAsia="微软雅黑" w:cs="微软雅黑"/>
                <w:i w:val="0"/>
                <w:iCs w:val="0"/>
                <w:color w:val="000000"/>
                <w:sz w:val="16"/>
                <w:szCs w:val="16"/>
                <w:highlight w:val="none"/>
                <w:u w:val="none"/>
              </w:rPr>
            </w:pPr>
          </w:p>
        </w:tc>
      </w:tr>
      <w:tr w14:paraId="0F344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795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484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753E">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D03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BF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CD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696F">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3FD1">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F6E3">
            <w:pPr>
              <w:jc w:val="left"/>
              <w:rPr>
                <w:rFonts w:hint="eastAsia" w:ascii="微软雅黑" w:hAnsi="微软雅黑" w:eastAsia="微软雅黑" w:cs="微软雅黑"/>
                <w:i w:val="0"/>
                <w:iCs w:val="0"/>
                <w:color w:val="000000"/>
                <w:sz w:val="16"/>
                <w:szCs w:val="16"/>
                <w:highlight w:val="none"/>
                <w:u w:val="none"/>
              </w:rPr>
            </w:pPr>
          </w:p>
        </w:tc>
      </w:tr>
      <w:tr w14:paraId="683B5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42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D2D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PVC阻燃穿线管</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C420">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983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PVC穿线管</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E8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84E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6DDB">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B301">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6025">
            <w:pPr>
              <w:jc w:val="left"/>
              <w:rPr>
                <w:rFonts w:hint="eastAsia" w:ascii="微软雅黑" w:hAnsi="微软雅黑" w:eastAsia="微软雅黑" w:cs="微软雅黑"/>
                <w:i w:val="0"/>
                <w:iCs w:val="0"/>
                <w:color w:val="000000"/>
                <w:sz w:val="16"/>
                <w:szCs w:val="16"/>
                <w:highlight w:val="none"/>
                <w:u w:val="none"/>
              </w:rPr>
            </w:pPr>
          </w:p>
        </w:tc>
      </w:tr>
      <w:tr w14:paraId="269EB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57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C88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2302">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D6C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44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B2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1F3B">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2013">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06DF">
            <w:pPr>
              <w:jc w:val="center"/>
              <w:rPr>
                <w:rFonts w:hint="eastAsia" w:ascii="微软雅黑" w:hAnsi="微软雅黑" w:eastAsia="微软雅黑" w:cs="微软雅黑"/>
                <w:i w:val="0"/>
                <w:iCs w:val="0"/>
                <w:color w:val="000000"/>
                <w:sz w:val="16"/>
                <w:szCs w:val="16"/>
                <w:highlight w:val="none"/>
                <w:u w:val="none"/>
              </w:rPr>
            </w:pPr>
          </w:p>
        </w:tc>
      </w:tr>
      <w:tr w14:paraId="1F376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03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F01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6527">
            <w:pPr>
              <w:jc w:val="left"/>
              <w:rPr>
                <w:rFonts w:hint="eastAsia" w:ascii="微软雅黑" w:hAnsi="微软雅黑" w:eastAsia="微软雅黑" w:cs="微软雅黑"/>
                <w:i w:val="0"/>
                <w:iCs w:val="0"/>
                <w:color w:val="000000"/>
                <w:sz w:val="16"/>
                <w:szCs w:val="16"/>
                <w:highlight w:val="none"/>
                <w:u w:val="none"/>
              </w:rPr>
            </w:pP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C68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04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47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F883">
            <w:pPr>
              <w:jc w:val="center"/>
              <w:rPr>
                <w:rFonts w:hint="eastAsia" w:ascii="微软雅黑" w:hAnsi="微软雅黑" w:eastAsia="微软雅黑" w:cs="微软雅黑"/>
                <w:i w:val="0"/>
                <w:iCs w:val="0"/>
                <w:color w:val="000000"/>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9268">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3C37">
            <w:pPr>
              <w:jc w:val="center"/>
              <w:rPr>
                <w:rFonts w:hint="eastAsia" w:ascii="微软雅黑" w:hAnsi="微软雅黑" w:eastAsia="微软雅黑" w:cs="微软雅黑"/>
                <w:i w:val="0"/>
                <w:iCs w:val="0"/>
                <w:color w:val="000000"/>
                <w:sz w:val="16"/>
                <w:szCs w:val="16"/>
                <w:highlight w:val="none"/>
                <w:u w:val="none"/>
              </w:rPr>
            </w:pPr>
          </w:p>
        </w:tc>
      </w:tr>
      <w:tr w14:paraId="23B53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62A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w:t>
            </w:r>
          </w:p>
        </w:tc>
        <w:tc>
          <w:tcPr>
            <w:tcW w:w="8650" w:type="dxa"/>
            <w:gridSpan w:val="6"/>
            <w:tcBorders>
              <w:top w:val="single" w:color="000000" w:sz="4" w:space="0"/>
              <w:left w:val="single" w:color="000000" w:sz="4" w:space="0"/>
              <w:bottom w:val="single" w:color="000000" w:sz="4" w:space="0"/>
              <w:right w:val="nil"/>
            </w:tcBorders>
            <w:shd w:val="clear" w:color="auto" w:fill="auto"/>
            <w:vAlign w:val="center"/>
          </w:tcPr>
          <w:p w14:paraId="593CDF9B">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highlight w:val="none"/>
                <w:u w:val="none"/>
              </w:rPr>
            </w:pPr>
            <w:r>
              <w:rPr>
                <w:rFonts w:hint="eastAsia" w:ascii="微软雅黑" w:hAnsi="微软雅黑" w:eastAsia="微软雅黑" w:cs="微软雅黑"/>
                <w:b/>
                <w:bCs/>
                <w:i w:val="0"/>
                <w:iCs w:val="0"/>
                <w:snapToGrid w:val="0"/>
                <w:color w:val="000000"/>
                <w:kern w:val="0"/>
                <w:sz w:val="16"/>
                <w:szCs w:val="16"/>
                <w:highlight w:val="none"/>
                <w:u w:val="none"/>
                <w:lang w:val="en-US" w:eastAsia="zh-CN" w:bidi="ar"/>
              </w:rPr>
              <w:t>小计</w:t>
            </w:r>
          </w:p>
        </w:tc>
        <w:tc>
          <w:tcPr>
            <w:tcW w:w="684" w:type="dxa"/>
            <w:tcBorders>
              <w:top w:val="single" w:color="000000" w:sz="4" w:space="0"/>
              <w:left w:val="nil"/>
              <w:bottom w:val="single" w:color="000000" w:sz="4" w:space="0"/>
              <w:right w:val="single" w:color="000000" w:sz="4" w:space="0"/>
            </w:tcBorders>
            <w:shd w:val="clear" w:color="auto" w:fill="auto"/>
            <w:vAlign w:val="center"/>
          </w:tcPr>
          <w:p w14:paraId="42668F9D">
            <w:pPr>
              <w:rPr>
                <w:rFonts w:hint="eastAsia" w:ascii="微软雅黑" w:hAnsi="微软雅黑" w:eastAsia="微软雅黑" w:cs="微软雅黑"/>
                <w:i w:val="0"/>
                <w:iCs w:val="0"/>
                <w:color w:val="000000"/>
                <w:sz w:val="16"/>
                <w:szCs w:val="16"/>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28F7">
            <w:pPr>
              <w:jc w:val="left"/>
              <w:rPr>
                <w:rFonts w:hint="eastAsia" w:ascii="微软雅黑" w:hAnsi="微软雅黑" w:eastAsia="微软雅黑" w:cs="微软雅黑"/>
                <w:i w:val="0"/>
                <w:iCs w:val="0"/>
                <w:color w:val="000000"/>
                <w:sz w:val="16"/>
                <w:szCs w:val="16"/>
                <w:highlight w:val="none"/>
                <w:u w:val="none"/>
              </w:rPr>
            </w:pPr>
          </w:p>
        </w:tc>
      </w:tr>
      <w:tr w14:paraId="19C23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E3C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1050" w:type="dxa"/>
            <w:tcBorders>
              <w:top w:val="single" w:color="A6A6A6" w:sz="4" w:space="0"/>
              <w:left w:val="single" w:color="A6A6A6" w:sz="4" w:space="0"/>
              <w:bottom w:val="single" w:color="000000" w:sz="4" w:space="0"/>
              <w:right w:val="single" w:color="A6A6A6" w:sz="4" w:space="0"/>
            </w:tcBorders>
            <w:shd w:val="clear" w:color="auto" w:fill="FFFFFF"/>
            <w:vAlign w:val="center"/>
          </w:tcPr>
          <w:p w14:paraId="7C86B6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总计</w:t>
            </w:r>
          </w:p>
        </w:tc>
        <w:tc>
          <w:tcPr>
            <w:tcW w:w="850" w:type="dxa"/>
            <w:tcBorders>
              <w:top w:val="single" w:color="A6A6A6" w:sz="4" w:space="0"/>
              <w:left w:val="nil"/>
              <w:bottom w:val="single" w:color="000000" w:sz="4" w:space="0"/>
              <w:right w:val="nil"/>
            </w:tcBorders>
            <w:shd w:val="clear" w:color="auto" w:fill="FFFFFF"/>
            <w:vAlign w:val="center"/>
          </w:tcPr>
          <w:p w14:paraId="597360DE">
            <w:pPr>
              <w:jc w:val="center"/>
              <w:rPr>
                <w:rFonts w:hint="eastAsia" w:ascii="微软雅黑" w:hAnsi="微软雅黑" w:eastAsia="微软雅黑" w:cs="微软雅黑"/>
                <w:i w:val="0"/>
                <w:iCs w:val="0"/>
                <w:color w:val="000000"/>
                <w:sz w:val="16"/>
                <w:szCs w:val="16"/>
                <w:highlight w:val="none"/>
                <w:u w:val="none"/>
              </w:rPr>
            </w:pPr>
          </w:p>
        </w:tc>
        <w:tc>
          <w:tcPr>
            <w:tcW w:w="7434" w:type="dxa"/>
            <w:gridSpan w:val="5"/>
            <w:tcBorders>
              <w:top w:val="single" w:color="A6A6A6" w:sz="4" w:space="0"/>
              <w:left w:val="nil"/>
              <w:bottom w:val="single" w:color="000000" w:sz="4" w:space="0"/>
              <w:right w:val="single" w:color="A6A6A6" w:sz="4" w:space="0"/>
            </w:tcBorders>
            <w:shd w:val="clear" w:color="auto" w:fill="FFFFFF"/>
            <w:vAlign w:val="center"/>
          </w:tcPr>
          <w:p w14:paraId="68C7E10C">
            <w:pPr>
              <w:jc w:val="center"/>
              <w:rPr>
                <w:rFonts w:hint="eastAsia" w:ascii="微软雅黑" w:hAnsi="微软雅黑" w:eastAsia="微软雅黑" w:cs="微软雅黑"/>
                <w:i w:val="0"/>
                <w:iCs w:val="0"/>
                <w:color w:val="000000"/>
                <w:sz w:val="16"/>
                <w:szCs w:val="16"/>
                <w:highlight w:val="none"/>
                <w:u w:val="none"/>
              </w:rPr>
            </w:pPr>
          </w:p>
        </w:tc>
        <w:tc>
          <w:tcPr>
            <w:tcW w:w="872" w:type="dxa"/>
            <w:tcBorders>
              <w:top w:val="single" w:color="A6A6A6" w:sz="4" w:space="0"/>
              <w:left w:val="single" w:color="A6A6A6" w:sz="4" w:space="0"/>
              <w:bottom w:val="single" w:color="000000" w:sz="4" w:space="0"/>
              <w:right w:val="single" w:color="A6A6A6" w:sz="4" w:space="0"/>
            </w:tcBorders>
            <w:shd w:val="clear" w:color="auto" w:fill="FFFFFF"/>
            <w:vAlign w:val="top"/>
          </w:tcPr>
          <w:p w14:paraId="15FF7B17">
            <w:pPr>
              <w:rPr>
                <w:rFonts w:hint="eastAsia" w:ascii="微软雅黑" w:hAnsi="微软雅黑" w:eastAsia="微软雅黑" w:cs="微软雅黑"/>
                <w:i w:val="0"/>
                <w:iCs w:val="0"/>
                <w:color w:val="000000"/>
                <w:sz w:val="16"/>
                <w:szCs w:val="16"/>
                <w:highlight w:val="none"/>
                <w:u w:val="none"/>
              </w:rPr>
            </w:pPr>
          </w:p>
        </w:tc>
      </w:tr>
    </w:tbl>
    <w:p w14:paraId="1676AA35">
      <w:pPr>
        <w:pStyle w:val="8"/>
        <w:spacing w:before="237" w:line="220" w:lineRule="auto"/>
        <w:ind w:left="1949"/>
        <w:rPr>
          <w:b/>
          <w:bCs/>
          <w:spacing w:val="-3"/>
          <w:sz w:val="21"/>
          <w:szCs w:val="21"/>
          <w:highlight w:val="none"/>
        </w:rPr>
      </w:pPr>
    </w:p>
    <w:p w14:paraId="2C6203C5">
      <w:pPr>
        <w:pStyle w:val="8"/>
        <w:spacing w:before="237" w:line="220" w:lineRule="auto"/>
        <w:ind w:left="1949"/>
        <w:rPr>
          <w:b/>
          <w:bCs/>
          <w:spacing w:val="-3"/>
          <w:sz w:val="21"/>
          <w:szCs w:val="21"/>
          <w:highlight w:val="none"/>
        </w:rPr>
      </w:pPr>
    </w:p>
    <w:tbl>
      <w:tblPr>
        <w:tblStyle w:val="17"/>
        <w:tblW w:w="10713" w:type="dxa"/>
        <w:tblInd w:w="-8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3"/>
        <w:gridCol w:w="1150"/>
        <w:gridCol w:w="850"/>
        <w:gridCol w:w="4050"/>
        <w:gridCol w:w="700"/>
        <w:gridCol w:w="667"/>
        <w:gridCol w:w="750"/>
        <w:gridCol w:w="783"/>
        <w:gridCol w:w="930"/>
      </w:tblGrid>
      <w:tr w14:paraId="3CC65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9" w:hRule="atLeast"/>
        </w:trPr>
        <w:tc>
          <w:tcPr>
            <w:tcW w:w="10713"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51FE">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highlight w:val="none"/>
                <w:u w:val="none"/>
              </w:rPr>
            </w:pPr>
            <w:r>
              <w:rPr>
                <w:rFonts w:hint="eastAsia" w:ascii="微软雅黑" w:hAnsi="微软雅黑" w:eastAsia="微软雅黑" w:cs="微软雅黑"/>
                <w:b/>
                <w:bCs/>
                <w:i w:val="0"/>
                <w:iCs w:val="0"/>
                <w:snapToGrid w:val="0"/>
                <w:color w:val="000000"/>
                <w:kern w:val="0"/>
                <w:sz w:val="32"/>
                <w:szCs w:val="32"/>
                <w:highlight w:val="none"/>
                <w:u w:val="none"/>
                <w:lang w:val="en-US" w:eastAsia="zh-CN" w:bidi="ar"/>
              </w:rPr>
              <w:t>红石崖水厂电子围栏</w:t>
            </w:r>
          </w:p>
        </w:tc>
      </w:tr>
      <w:tr w14:paraId="6BC6E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33" w:type="dxa"/>
            <w:tcBorders>
              <w:top w:val="nil"/>
              <w:left w:val="single" w:color="000000" w:sz="4" w:space="0"/>
              <w:bottom w:val="nil"/>
              <w:right w:val="single" w:color="000000" w:sz="4" w:space="0"/>
            </w:tcBorders>
            <w:shd w:val="clear" w:color="auto" w:fill="auto"/>
            <w:vAlign w:val="center"/>
          </w:tcPr>
          <w:p w14:paraId="506C205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序号</w:t>
            </w:r>
          </w:p>
        </w:tc>
        <w:tc>
          <w:tcPr>
            <w:tcW w:w="1150" w:type="dxa"/>
            <w:tcBorders>
              <w:top w:val="nil"/>
              <w:left w:val="single" w:color="000000" w:sz="4" w:space="0"/>
              <w:bottom w:val="nil"/>
              <w:right w:val="single" w:color="000000" w:sz="4" w:space="0"/>
            </w:tcBorders>
            <w:shd w:val="clear" w:color="auto" w:fill="auto"/>
            <w:vAlign w:val="center"/>
          </w:tcPr>
          <w:p w14:paraId="72A59A8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名称</w:t>
            </w:r>
          </w:p>
        </w:tc>
        <w:tc>
          <w:tcPr>
            <w:tcW w:w="850" w:type="dxa"/>
            <w:tcBorders>
              <w:top w:val="nil"/>
              <w:left w:val="single" w:color="000000" w:sz="4" w:space="0"/>
              <w:bottom w:val="nil"/>
              <w:right w:val="single" w:color="000000" w:sz="4" w:space="0"/>
            </w:tcBorders>
            <w:shd w:val="clear" w:color="auto" w:fill="auto"/>
            <w:vAlign w:val="center"/>
          </w:tcPr>
          <w:p w14:paraId="0A59154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品牌</w:t>
            </w:r>
          </w:p>
        </w:tc>
        <w:tc>
          <w:tcPr>
            <w:tcW w:w="4050" w:type="dxa"/>
            <w:tcBorders>
              <w:top w:val="nil"/>
              <w:left w:val="single" w:color="000000" w:sz="4" w:space="0"/>
              <w:bottom w:val="nil"/>
              <w:right w:val="single" w:color="000000" w:sz="4" w:space="0"/>
            </w:tcBorders>
            <w:shd w:val="clear" w:color="auto" w:fill="auto"/>
            <w:vAlign w:val="center"/>
          </w:tcPr>
          <w:p w14:paraId="6EDAE32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技术规格</w:t>
            </w:r>
          </w:p>
        </w:tc>
        <w:tc>
          <w:tcPr>
            <w:tcW w:w="700" w:type="dxa"/>
            <w:tcBorders>
              <w:top w:val="nil"/>
              <w:left w:val="single" w:color="000000" w:sz="4" w:space="0"/>
              <w:bottom w:val="nil"/>
              <w:right w:val="single" w:color="000000" w:sz="4" w:space="0"/>
            </w:tcBorders>
            <w:shd w:val="clear" w:color="auto" w:fill="auto"/>
            <w:vAlign w:val="center"/>
          </w:tcPr>
          <w:p w14:paraId="1D46B66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单位</w:t>
            </w:r>
          </w:p>
        </w:tc>
        <w:tc>
          <w:tcPr>
            <w:tcW w:w="667" w:type="dxa"/>
            <w:tcBorders>
              <w:top w:val="nil"/>
              <w:left w:val="single" w:color="000000" w:sz="4" w:space="0"/>
              <w:bottom w:val="nil"/>
              <w:right w:val="single" w:color="000000" w:sz="4" w:space="0"/>
            </w:tcBorders>
            <w:shd w:val="clear" w:color="auto" w:fill="auto"/>
            <w:vAlign w:val="center"/>
          </w:tcPr>
          <w:p w14:paraId="7B288EB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数量</w:t>
            </w:r>
          </w:p>
        </w:tc>
        <w:tc>
          <w:tcPr>
            <w:tcW w:w="750" w:type="dxa"/>
            <w:tcBorders>
              <w:top w:val="nil"/>
              <w:left w:val="single" w:color="000000" w:sz="4" w:space="0"/>
              <w:bottom w:val="nil"/>
              <w:right w:val="single" w:color="000000" w:sz="4" w:space="0"/>
            </w:tcBorders>
            <w:shd w:val="clear" w:color="auto" w:fill="auto"/>
            <w:vAlign w:val="center"/>
          </w:tcPr>
          <w:p w14:paraId="3F17CFD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单价(元)</w:t>
            </w:r>
          </w:p>
        </w:tc>
        <w:tc>
          <w:tcPr>
            <w:tcW w:w="783" w:type="dxa"/>
            <w:tcBorders>
              <w:top w:val="nil"/>
              <w:left w:val="single" w:color="000000" w:sz="4" w:space="0"/>
              <w:bottom w:val="nil"/>
              <w:right w:val="single" w:color="000000" w:sz="4" w:space="0"/>
            </w:tcBorders>
            <w:shd w:val="clear" w:color="auto" w:fill="auto"/>
            <w:vAlign w:val="center"/>
          </w:tcPr>
          <w:p w14:paraId="16819EB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合价(元)</w:t>
            </w:r>
          </w:p>
        </w:tc>
        <w:tc>
          <w:tcPr>
            <w:tcW w:w="930" w:type="dxa"/>
            <w:tcBorders>
              <w:top w:val="nil"/>
              <w:left w:val="single" w:color="000000" w:sz="4" w:space="0"/>
              <w:bottom w:val="nil"/>
              <w:right w:val="single" w:color="000000" w:sz="4" w:space="0"/>
            </w:tcBorders>
            <w:shd w:val="clear" w:color="auto" w:fill="auto"/>
            <w:vAlign w:val="center"/>
          </w:tcPr>
          <w:p w14:paraId="64151DE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备注</w:t>
            </w:r>
          </w:p>
        </w:tc>
      </w:tr>
      <w:tr w14:paraId="0A511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nil"/>
              <w:right w:val="single" w:color="000000" w:sz="4" w:space="0"/>
            </w:tcBorders>
            <w:shd w:val="clear" w:color="auto" w:fill="auto"/>
            <w:vAlign w:val="center"/>
          </w:tcPr>
          <w:p w14:paraId="2A33688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一</w:t>
            </w:r>
          </w:p>
        </w:tc>
        <w:tc>
          <w:tcPr>
            <w:tcW w:w="988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CAF74A">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四线脉冲电子围栏</w:t>
            </w:r>
          </w:p>
        </w:tc>
      </w:tr>
      <w:tr w14:paraId="127E7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8DE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B6F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网络版四线双防脉冲主机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0606">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230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4.3英寸的液晶显示操作屏，可显示每个防区的工作电压，带有4个功能按键可进行布防、撤防、电压调节等操作；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支持防区电压无级调控（最小颗粒度0.1Kv），电压值调控范围(0.9Kv-6.5Kv)；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支持防区报警图标显示,可实时监控每个防区情况,一旦报警被触发图标立即闪烁并报警提示；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内接式螺丝接线端子台，让高压与脉冲连接更可靠、稳定，安全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同时支持继电器干接点、RS485接口、RJ45（TCP/IP）三种通信接口，实现跟中心报警主机的通信；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内置十进制拨码模块，地址支持0~99，当采用RS485通信方式时，相较传统二进制拨码更加的准确、高效；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支持一路第三防区扩展，该功能可以支持脉冲主机外接一路探测器，在综合技防场景中可以节省施工成本，提高布线效率；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支持输出一路DC12V 1A供电，给就近其他探测器提供供电，节省综合施工成本；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支持防区报警（短路、断路、触网）、防拆报警、系统故障报警等多种报警方式；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内置两路独立高压电路，实现真正意义上的双防区，控制中心对该脉冲主机的回控可以精确到单个防区实现分别独立控制；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软件功能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防区：2个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配置方式：本地配置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异常状态监测：支持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硬件接口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电池接口：支持1路DC12V 1A蓄电池接入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报警输出：4路开关量输出（2路为防区报警输出，1路为外部开关量报警输出，1路主机掉电报警输出）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网络接口：1个RJ45接口 （10/100M）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报警输入：支持1组报警输入NO/NC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数字按键：支持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电气性能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功耗：30W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电源：脉冲主机：DC15V±10%，2A，30W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适配器：输入 AC100~240V，1.5A Max，50/60Hz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输出 DC15V，4A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有线连接：支持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显示屏：4.3寸液晶显示屏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常规参数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外壳材质：ABS工程塑料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重量：2.79kg ±0.05kg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工作温度：﹣30°C -- +55°C，±10%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工作湿度：10％ - 90％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尺寸(宽x高x深)：380mm高×255mm宽×110mm深</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E9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593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3E2D">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3BB7">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EDD9">
            <w:pPr>
              <w:jc w:val="left"/>
              <w:rPr>
                <w:rFonts w:hint="eastAsia" w:ascii="微软雅黑" w:hAnsi="微软雅黑" w:eastAsia="微软雅黑" w:cs="微软雅黑"/>
                <w:i w:val="0"/>
                <w:iCs w:val="0"/>
                <w:color w:val="000000"/>
                <w:sz w:val="16"/>
                <w:szCs w:val="16"/>
                <w:highlight w:val="none"/>
                <w:u w:val="none"/>
              </w:rPr>
            </w:pPr>
          </w:p>
        </w:tc>
      </w:tr>
      <w:tr w14:paraId="236DE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7"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13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D04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网络版四线单防脉冲主机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8116">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DC2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4.3英寸的液晶显示操作屏，可显示每个防区的工作电压，带有4个功能按键可进行布防、撤防、电压调节等操作；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支持防区电压无级调控（最小颗粒度0.1Kv），电压值调控范围(0.9Kv-6.5Kv)；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支持防区报警图标显示,可实时监控每个防区情况,一旦报警被触发图标立即闪烁并报警提示；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内接式螺丝接线端子台，让高压与脉冲连接更可靠、稳定，安全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同时支持继电器干接点、RS485接口、RJ45（TCP/IP）三种通信接口，实现跟中心报警主机的通信；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内置十进制拨码模块，地址支持0~99，当采用RS485通信方式时，相较传统二进制拨码更加的准确、高效；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支持一路第三防区扩展，该功能可以支持脉冲主机外接一路探测器，在综合技防场景中可以节省施工成本，提高布线效率；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支持输出一路DC12V 1A供电，给就近其他探测器提供供电，节省综合施工成本；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支持防区报警（短路、断路、触网）、防拆报警、系统故障报警等多种报警方式；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软件功能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防区：1个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配置方式：本地配置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异常状态监测：支持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硬件接口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电池接口：支持1路DC12V 1A蓄电池接入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报警输出：3路开关量输出（1路为防区报警输出，1路为外部开关量报警输出，1路主机掉电报警输出）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网络接口：1个RJ45接口 （10/100M）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报警输入：支持1组报警输入NO/NC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数字按键：支持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电气性能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功耗：30W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电源：脉冲主机：DC15V±10%，2A，30W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适配器：输入 AC100~240V，1.5A Max，50/60Hz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输出 DC15V，4A Max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有线连接：支持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显示屏：液晶显示屏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常规参数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外壳材质：ABS工程塑料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重量：2.2kg ±0.05kg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工作温度：﹣30°C -- +55°C，±10%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工作湿度：10％ - 90％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尺寸(宽x高x深)：380mm高×255mm宽×110mm深</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56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4D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B51B">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A73F">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FCCE">
            <w:pPr>
              <w:jc w:val="left"/>
              <w:rPr>
                <w:rFonts w:hint="eastAsia" w:ascii="微软雅黑" w:hAnsi="微软雅黑" w:eastAsia="微软雅黑" w:cs="微软雅黑"/>
                <w:i w:val="0"/>
                <w:iCs w:val="0"/>
                <w:color w:val="000000"/>
                <w:sz w:val="16"/>
                <w:szCs w:val="16"/>
                <w:highlight w:val="none"/>
                <w:u w:val="none"/>
              </w:rPr>
            </w:pPr>
          </w:p>
        </w:tc>
      </w:tr>
      <w:tr w14:paraId="0315C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6C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9A6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周界报警室外工控箱</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0466">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C3B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设备材质：冷轧钢板、镀锌喷塑 ，壁厚 1.0mm±0.15mm；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尺寸（高宽深）：含帽沿（高*宽*深）：600mm*400mm*200mm；不含帽沿（高*宽*深）：600mm*400mm*180mm；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工控配置：2P 16A空开 1个；2P 20kA 防浪涌(防雷)模块 1个；5孔导轨式插座 3个；高压接线端子 2个；接地铜排 1个；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基础配置：十字铜芯一字锁，内置两条工业导轨（280mm/80mm）,一块多孔工业挂板（360mm*160mm），一条接地铜排；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防水等级：IP65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支持壁挂、抱箍、落地等三种安装方式；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空气开关：额定电压(V) ：230/400 AC 额定电流(A)：16A 额定频率(Hz)：50/60HZ 数量：1个 （2P）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防浪涌/雷击保护器：额定电压：230V（相电压） 最大放电电流：20KA 响应时间：＜ 25ns 数量：1个（2P）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导轨式插座：额定电压：250V 额定电流：10A 数量：3个（5孔）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高压接线模块：进线范围/10-35平方；出线范围/2.5-16平方； 适用电流/100A ；导件材质/黄铜镀锡； 端口数量/1进2出； 数量：2个</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BF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88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B8B7">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86CB">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2566">
            <w:pPr>
              <w:jc w:val="left"/>
              <w:rPr>
                <w:rFonts w:hint="eastAsia" w:ascii="微软雅黑" w:hAnsi="微软雅黑" w:eastAsia="微软雅黑" w:cs="微软雅黑"/>
                <w:i w:val="0"/>
                <w:iCs w:val="0"/>
                <w:color w:val="000000"/>
                <w:sz w:val="16"/>
                <w:szCs w:val="16"/>
                <w:highlight w:val="none"/>
                <w:u w:val="none"/>
              </w:rPr>
            </w:pPr>
          </w:p>
        </w:tc>
      </w:tr>
      <w:tr w14:paraId="5F32B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8C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879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避雷器（含支架）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08D6">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0DA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避雷器</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4C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37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B692">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BA9D">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41CD">
            <w:pPr>
              <w:jc w:val="left"/>
              <w:rPr>
                <w:rFonts w:hint="eastAsia" w:ascii="微软雅黑" w:hAnsi="微软雅黑" w:eastAsia="微软雅黑" w:cs="微软雅黑"/>
                <w:i w:val="0"/>
                <w:iCs w:val="0"/>
                <w:color w:val="000000"/>
                <w:sz w:val="16"/>
                <w:szCs w:val="16"/>
                <w:highlight w:val="none"/>
                <w:u w:val="none"/>
              </w:rPr>
            </w:pPr>
          </w:p>
        </w:tc>
      </w:tr>
      <w:tr w14:paraId="7B206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10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529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室外声光报警器（含支架，电源）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B10E">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097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电子围栏专用， 请不要用于其他系统。</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声光报警器（带转动）/声压≥108分贝/电流≤250毫安/（含电源和支架）</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28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94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D767">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1079">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AC79">
            <w:pPr>
              <w:jc w:val="left"/>
              <w:rPr>
                <w:rFonts w:hint="eastAsia" w:ascii="微软雅黑" w:hAnsi="微软雅黑" w:eastAsia="微软雅黑" w:cs="微软雅黑"/>
                <w:i w:val="0"/>
                <w:iCs w:val="0"/>
                <w:color w:val="000000"/>
                <w:sz w:val="16"/>
                <w:szCs w:val="16"/>
                <w:highlight w:val="none"/>
                <w:u w:val="none"/>
              </w:rPr>
            </w:pPr>
          </w:p>
        </w:tc>
      </w:tr>
      <w:tr w14:paraId="1AE9C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9EB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67D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四/六线通用中间杆850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18C">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F3B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4/6线通用中间杆； 材质：软性玻璃纤维；6线，口径10mm，杆长850mm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D07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41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C5EB">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D874">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A8D3">
            <w:pPr>
              <w:jc w:val="left"/>
              <w:rPr>
                <w:rFonts w:hint="eastAsia" w:ascii="微软雅黑" w:hAnsi="微软雅黑" w:eastAsia="微软雅黑" w:cs="微软雅黑"/>
                <w:i w:val="0"/>
                <w:iCs w:val="0"/>
                <w:color w:val="000000"/>
                <w:sz w:val="16"/>
                <w:szCs w:val="16"/>
                <w:highlight w:val="none"/>
                <w:u w:val="none"/>
              </w:rPr>
            </w:pPr>
          </w:p>
        </w:tc>
      </w:tr>
      <w:tr w14:paraId="28D34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F74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F42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四线中间杆附件包850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C5C0">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F53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4线中间杆附件包；  含中间杆帽子（口径10）1个、中间杆绝缘子4个、中间杆底座（热镀锌）1个</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35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66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8D71">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265D">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F299">
            <w:pPr>
              <w:jc w:val="left"/>
              <w:rPr>
                <w:rFonts w:hint="eastAsia" w:ascii="微软雅黑" w:hAnsi="微软雅黑" w:eastAsia="微软雅黑" w:cs="微软雅黑"/>
                <w:i w:val="0"/>
                <w:iCs w:val="0"/>
                <w:color w:val="000000"/>
                <w:sz w:val="16"/>
                <w:szCs w:val="16"/>
                <w:highlight w:val="none"/>
                <w:u w:val="none"/>
              </w:rPr>
            </w:pPr>
          </w:p>
        </w:tc>
      </w:tr>
      <w:tr w14:paraId="3DC95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1C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C59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四线承力杆附件包850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2FD2">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5F0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4线承力杆经济型杆附件包；  含4个终端杆绝缘子（套管型）；1个终端杆帽子（32口径）；1个承力杆底座（热镀锌）</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5B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5E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F084">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0C7D">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132E">
            <w:pPr>
              <w:jc w:val="left"/>
              <w:rPr>
                <w:rFonts w:hint="eastAsia" w:ascii="微软雅黑" w:hAnsi="微软雅黑" w:eastAsia="微软雅黑" w:cs="微软雅黑"/>
                <w:i w:val="0"/>
                <w:iCs w:val="0"/>
                <w:color w:val="000000"/>
                <w:sz w:val="16"/>
                <w:szCs w:val="16"/>
                <w:highlight w:val="none"/>
                <w:u w:val="none"/>
              </w:rPr>
            </w:pPr>
          </w:p>
        </w:tc>
      </w:tr>
      <w:tr w14:paraId="60ACB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466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AAB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四线终端杆附件包850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B00E">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897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4线终端杆经济型附件包；含终端杆绝缘子（套管型）4只；终端杆帽子（32口径）1个；终端杆底座（热镀锌）1套；收紧器4个；线线连接器8个</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37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C3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0059">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5D01">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81E7">
            <w:pPr>
              <w:jc w:val="left"/>
              <w:rPr>
                <w:rFonts w:hint="eastAsia" w:ascii="微软雅黑" w:hAnsi="微软雅黑" w:eastAsia="微软雅黑" w:cs="微软雅黑"/>
                <w:i w:val="0"/>
                <w:iCs w:val="0"/>
                <w:color w:val="000000"/>
                <w:sz w:val="16"/>
                <w:szCs w:val="16"/>
                <w:highlight w:val="none"/>
                <w:u w:val="none"/>
              </w:rPr>
            </w:pPr>
          </w:p>
        </w:tc>
      </w:tr>
      <w:tr w14:paraId="79215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1"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1D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50F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四线承力/终端通用杆850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89CF">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C8D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4线经济型通用杆850；  经济型通用终端、承力杆；  4线终端杆，直径32mm,2.0mm 厚，高度：850mm；材质：铝合金管；表面处理：表面氧化；表面颜色：本色</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7A5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A7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4B4B">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B117">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04F2">
            <w:pPr>
              <w:jc w:val="left"/>
              <w:rPr>
                <w:rFonts w:hint="eastAsia" w:ascii="微软雅黑" w:hAnsi="微软雅黑" w:eastAsia="微软雅黑" w:cs="微软雅黑"/>
                <w:i w:val="0"/>
                <w:iCs w:val="0"/>
                <w:color w:val="000000"/>
                <w:sz w:val="16"/>
                <w:szCs w:val="16"/>
                <w:highlight w:val="none"/>
                <w:u w:val="none"/>
              </w:rPr>
            </w:pPr>
          </w:p>
        </w:tc>
      </w:tr>
      <w:tr w14:paraId="6AF56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BA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F15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20#合金线400米/盘</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6188D">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195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20#合金线，优良导电率，抗氧化、耐腐蚀,去火功能，多股，每100米2欧姆阻值，400m一盘</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80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26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4B03">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4376">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6965D">
            <w:pPr>
              <w:jc w:val="left"/>
              <w:rPr>
                <w:rFonts w:hint="eastAsia" w:ascii="微软雅黑" w:hAnsi="微软雅黑" w:eastAsia="微软雅黑" w:cs="微软雅黑"/>
                <w:i w:val="0"/>
                <w:iCs w:val="0"/>
                <w:color w:val="000000"/>
                <w:sz w:val="16"/>
                <w:szCs w:val="16"/>
                <w:highlight w:val="none"/>
                <w:u w:val="none"/>
              </w:rPr>
            </w:pPr>
          </w:p>
        </w:tc>
      </w:tr>
      <w:tr w14:paraId="46C18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E0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32A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20#合金线100米/盘</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D13C">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568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20#合金线，优良导电率，抗氧化、耐腐蚀,去火功能，多股，每100米2欧姆阻值，100m一盘。</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37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02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C092">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88AB">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EF56">
            <w:pPr>
              <w:jc w:val="left"/>
              <w:rPr>
                <w:rFonts w:hint="eastAsia" w:ascii="微软雅黑" w:hAnsi="微软雅黑" w:eastAsia="微软雅黑" w:cs="微软雅黑"/>
                <w:i w:val="0"/>
                <w:iCs w:val="0"/>
                <w:color w:val="000000"/>
                <w:sz w:val="16"/>
                <w:szCs w:val="16"/>
                <w:highlight w:val="none"/>
                <w:u w:val="none"/>
              </w:rPr>
            </w:pPr>
          </w:p>
        </w:tc>
      </w:tr>
      <w:tr w14:paraId="5340E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E41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DCA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高压绝缘导线100m/盘</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FB88">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01D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高压绝缘导线；合金线为内芯/高压绝缘层抗脉冲电压&gt;20KV/考虑现场可能有出入口、或围墙不连续处，100米/盘</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21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盘</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BA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3BF1">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FBD6">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14AA">
            <w:pPr>
              <w:jc w:val="left"/>
              <w:rPr>
                <w:rFonts w:hint="eastAsia" w:ascii="微软雅黑" w:hAnsi="微软雅黑" w:eastAsia="微软雅黑" w:cs="微软雅黑"/>
                <w:i w:val="0"/>
                <w:iCs w:val="0"/>
                <w:color w:val="000000"/>
                <w:sz w:val="16"/>
                <w:szCs w:val="16"/>
                <w:highlight w:val="none"/>
                <w:u w:val="none"/>
              </w:rPr>
            </w:pPr>
          </w:p>
        </w:tc>
      </w:tr>
      <w:tr w14:paraId="3F9F3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D1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F98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脉冲围栏警示牌</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D976C">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E07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警示牌；尺寸：100*200MM/采用稀土发光材料制造/在阴雨天气同样可吸光/双面印刷/夜光显示/每10米挂一块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CE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块</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5D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4266">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C74A">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8681">
            <w:pPr>
              <w:jc w:val="left"/>
              <w:rPr>
                <w:rFonts w:hint="eastAsia" w:ascii="微软雅黑" w:hAnsi="微软雅黑" w:eastAsia="微软雅黑" w:cs="微软雅黑"/>
                <w:i w:val="0"/>
                <w:iCs w:val="0"/>
                <w:color w:val="000000"/>
                <w:sz w:val="16"/>
                <w:szCs w:val="16"/>
                <w:highlight w:val="none"/>
                <w:u w:val="none"/>
              </w:rPr>
            </w:pPr>
          </w:p>
        </w:tc>
      </w:tr>
      <w:tr w14:paraId="1D090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5F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C94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接地桩</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0152">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689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电子围栏接地桩；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可用于将电子围栏主机和避雷器的接地；角钢，厚度2mm，长1.5米</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06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99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66A6">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F777">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2212">
            <w:pPr>
              <w:jc w:val="left"/>
              <w:rPr>
                <w:rFonts w:hint="eastAsia" w:ascii="微软雅黑" w:hAnsi="微软雅黑" w:eastAsia="微软雅黑" w:cs="微软雅黑"/>
                <w:i w:val="0"/>
                <w:iCs w:val="0"/>
                <w:color w:val="000000"/>
                <w:sz w:val="16"/>
                <w:szCs w:val="16"/>
                <w:highlight w:val="none"/>
                <w:u w:val="none"/>
              </w:rPr>
            </w:pPr>
          </w:p>
        </w:tc>
      </w:tr>
      <w:tr w14:paraId="1CB70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91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885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5米10mm²接地线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1C5D">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184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用于连接避雷器和接地桩，长为5米，10mm²的铜导线，每根接地桩配置一根</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3C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1D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2F30">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933A">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417D">
            <w:pPr>
              <w:jc w:val="left"/>
              <w:rPr>
                <w:rFonts w:hint="eastAsia" w:ascii="微软雅黑" w:hAnsi="微软雅黑" w:eastAsia="微软雅黑" w:cs="微软雅黑"/>
                <w:i w:val="0"/>
                <w:iCs w:val="0"/>
                <w:color w:val="000000"/>
                <w:sz w:val="16"/>
                <w:szCs w:val="16"/>
                <w:highlight w:val="none"/>
                <w:u w:val="none"/>
              </w:rPr>
            </w:pPr>
          </w:p>
        </w:tc>
      </w:tr>
      <w:tr w14:paraId="625F5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7"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6D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FD87">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扩展模块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BD41">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0EF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1、设备类型：声光警号（声光报警器）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2、警灯颜色：红色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3、报警音量：105dB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4、硬件接口：红/黑线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5、使用环境：室内/外（IP54室外防水）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6、外壳材质：PC+ABS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8、工作电源：DC12V/220mA（宽压8-16V DC）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9、工作温度：-20 °C 至 60 °C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10、工作湿度：10% 至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11、产品尺寸：140*134*33mm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【产品功能】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1、声光报警：提供警灯闪烁和报警音频输出，用于提示警情处置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2、模式切换：支持关闭报警音频输出，仅提供警灯闪烁模式输出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3、内置水平仪：可通过内置水平仪调节安装角度，方便调试安装</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22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85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8AE1">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5CB1">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1EA5">
            <w:pPr>
              <w:jc w:val="left"/>
              <w:rPr>
                <w:rFonts w:hint="eastAsia" w:ascii="微软雅黑" w:hAnsi="微软雅黑" w:eastAsia="微软雅黑" w:cs="微软雅黑"/>
                <w:i w:val="0"/>
                <w:iCs w:val="0"/>
                <w:color w:val="000000"/>
                <w:sz w:val="16"/>
                <w:szCs w:val="16"/>
                <w:highlight w:val="none"/>
                <w:u w:val="none"/>
              </w:rPr>
            </w:pPr>
          </w:p>
        </w:tc>
      </w:tr>
      <w:tr w14:paraId="47E5D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CD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EE9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混合报警主机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F0D9">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426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1、操作系统：嵌入式Linux操作系统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2、防区数量：支持通过网络和RS485方式接入电子围栏、张力围栏（其中RS485扩展上限为64路，网络扩展上限为256路）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3、继电器数量：板载4路（距离50m以内），可通过继电器模块扩展至64路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4、日志容量：5000条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5、传输距离：网络传输无限制（局域网可达），RS485传输800米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6、硬件接口：RS485*1、RJ45*1，PSTN接口*1，4G模块接口*1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7、安装方式：壁挂安装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8、供电方式：AC220V（自带电源适配器）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9、设备功耗：裸机功耗≤5W，满载功耗≤25W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10、工作温度：–10℃～+55℃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11、工作湿度：10％--90％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12、使用环境：室内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13、产品尺寸：351.4*261.4*92.3mm（长*宽*厚）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【功能特性】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1、防区报警：支持探测器/紧急报警装置触发信号接收，进行入侵/紧急报警事件管理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2、断电报警：当市电断电时，设备可通过蓄电池正常工作8小时以上（需选配蓄电池），并将断电事件进行通知上报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3、外接键盘：支持9个报警键盘接入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4、报警管理：支持报警键盘、WEB、客户端软件、中心平台进行报警管理操作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5、报警指示：支持报警键盘、警号、继电器联动、中心平台上报等报警事件指示功能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6、联动控制：支持报警事件联动，平台控制继电器输出，实现场景化联动输出，实现个性化管理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8、事件上传：支持断网续传功能，设备离线状态下产生事件在与平台连接后会重新上传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9、子系统管理：支持32个子系统，实现对防区进行分区管理，支持外出布防、在家布防、撤防、消警、旁路等功能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10、防区设置：支持即时防区、延时防区、紧急防区、超时防区等场景化防区类型设置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11、配置管理：支持配置文件导出和导入功能，实现参数备份和快速移机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12、视频联动：支持关联4路视频，报警时自动截取7S事前和事后视频，推送至APP和发送邮件</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EB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85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5084">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FDBA">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040C">
            <w:pPr>
              <w:jc w:val="left"/>
              <w:rPr>
                <w:rFonts w:hint="eastAsia" w:ascii="微软雅黑" w:hAnsi="微软雅黑" w:eastAsia="微软雅黑" w:cs="微软雅黑"/>
                <w:i w:val="0"/>
                <w:iCs w:val="0"/>
                <w:color w:val="000000"/>
                <w:sz w:val="16"/>
                <w:szCs w:val="16"/>
                <w:highlight w:val="none"/>
                <w:u w:val="none"/>
              </w:rPr>
            </w:pPr>
          </w:p>
        </w:tc>
      </w:tr>
      <w:tr w14:paraId="059FB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95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CAC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键盘及其他</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C380">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143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【技术参数】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1、设备类型：混合报警主机专用控制键盘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2、通讯协议：RS485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3、传输距离：800m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4、使用环境：室内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5、显示屏：LCD（尺寸80X25mm）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6、操作按键：20个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7、指示灯：5个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8、蜂鸣器：支持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9、安装方式：壁挂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10、工作电源：DC12V/150mA（宽压9-16V DC）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11、工作温度：-10 °C 至 55 °C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12、工作湿度：10% 至 90%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13、产品尺寸：150mm(长)*115mm(宽)*27mm(高)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【产品功能】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1、操作指令接收：支持对报警系统进行布防、撤防、消警、旁路、旁路恢复、紧急求助等操作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2、操作方式管理：支持密码、遥控器、刷卡方式对报警系统进行操作指令交互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3、报警状态指示：支持对报警系统防区报警状态进行实时指示，包括指示灯变化，提示音变化，文字内容变化等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4、系统状态展示：支持对报警系统运行状态进行展示，包括主电源状态、蓄电池状态、防拆状态、子系统布撤防状态，防区状态、扩展模块状态等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5、胁迫码功能：支持通过胁迫密码进行布撤防管理，并将警情进行中心上报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6、防区名称自定义：支持防区名称自定义配置，在键盘屏幕中展示对应文字内容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7、配置管理：支持通过键盘对报警主机进行参数配置，包括密码修改、防区类型配置、上报中心参数配置等</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EF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CE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3BBD">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2A28">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A0C7">
            <w:pPr>
              <w:jc w:val="left"/>
              <w:rPr>
                <w:rFonts w:hint="eastAsia" w:ascii="微软雅黑" w:hAnsi="微软雅黑" w:eastAsia="微软雅黑" w:cs="微软雅黑"/>
                <w:i w:val="0"/>
                <w:iCs w:val="0"/>
                <w:color w:val="000000"/>
                <w:sz w:val="16"/>
                <w:szCs w:val="16"/>
                <w:highlight w:val="none"/>
                <w:u w:val="none"/>
              </w:rPr>
            </w:pPr>
          </w:p>
        </w:tc>
      </w:tr>
      <w:tr w14:paraId="3C2E9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A6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241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PVC阻燃穿线管</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A823">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9E1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PVC穿线管</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2C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D8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BED4">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0B22">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7CAA">
            <w:pPr>
              <w:jc w:val="left"/>
              <w:rPr>
                <w:rFonts w:hint="eastAsia" w:ascii="微软雅黑" w:hAnsi="微软雅黑" w:eastAsia="微软雅黑" w:cs="微软雅黑"/>
                <w:i w:val="0"/>
                <w:iCs w:val="0"/>
                <w:color w:val="000000"/>
                <w:sz w:val="16"/>
                <w:szCs w:val="16"/>
                <w:highlight w:val="none"/>
                <w:u w:val="none"/>
              </w:rPr>
            </w:pPr>
          </w:p>
        </w:tc>
      </w:tr>
      <w:tr w14:paraId="74A78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DA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83F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室外铠装光纤</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91BD">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783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8芯室外铠装单模光纤</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15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641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1500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2E2F">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590E">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D595">
            <w:pPr>
              <w:jc w:val="left"/>
              <w:rPr>
                <w:rFonts w:hint="eastAsia" w:ascii="微软雅黑" w:hAnsi="微软雅黑" w:eastAsia="微软雅黑" w:cs="微软雅黑"/>
                <w:i w:val="0"/>
                <w:iCs w:val="0"/>
                <w:color w:val="000000"/>
                <w:sz w:val="16"/>
                <w:szCs w:val="16"/>
                <w:highlight w:val="none"/>
                <w:u w:val="none"/>
              </w:rPr>
            </w:pPr>
          </w:p>
        </w:tc>
      </w:tr>
      <w:tr w14:paraId="1C067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E2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C6B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室外光纤盒</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70DB">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433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4芯光纤盒</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99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0E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C6E9">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9BF2">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3D92">
            <w:pPr>
              <w:jc w:val="left"/>
              <w:rPr>
                <w:rFonts w:hint="eastAsia" w:ascii="微软雅黑" w:hAnsi="微软雅黑" w:eastAsia="微软雅黑" w:cs="微软雅黑"/>
                <w:i w:val="0"/>
                <w:iCs w:val="0"/>
                <w:color w:val="000000"/>
                <w:sz w:val="16"/>
                <w:szCs w:val="16"/>
                <w:highlight w:val="none"/>
                <w:u w:val="none"/>
              </w:rPr>
            </w:pPr>
          </w:p>
        </w:tc>
      </w:tr>
      <w:tr w14:paraId="0025B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E0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222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机架式光纤盒</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4450">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0B5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24芯机架式光纤盒</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05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7A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A7E1">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423B">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F0CF">
            <w:pPr>
              <w:jc w:val="left"/>
              <w:rPr>
                <w:rFonts w:hint="eastAsia" w:ascii="微软雅黑" w:hAnsi="微软雅黑" w:eastAsia="微软雅黑" w:cs="微软雅黑"/>
                <w:i w:val="0"/>
                <w:iCs w:val="0"/>
                <w:color w:val="000000"/>
                <w:sz w:val="16"/>
                <w:szCs w:val="16"/>
                <w:highlight w:val="none"/>
                <w:u w:val="none"/>
              </w:rPr>
            </w:pPr>
          </w:p>
        </w:tc>
      </w:tr>
      <w:tr w14:paraId="035FF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0B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DB5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光纤跳线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12DF">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A72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SC 接口单模光纤 3米</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CF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条</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87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86D5">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60EE">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F814">
            <w:pPr>
              <w:jc w:val="left"/>
              <w:rPr>
                <w:rFonts w:hint="eastAsia" w:ascii="微软雅黑" w:hAnsi="微软雅黑" w:eastAsia="微软雅黑" w:cs="微软雅黑"/>
                <w:i w:val="0"/>
                <w:iCs w:val="0"/>
                <w:color w:val="000000"/>
                <w:sz w:val="16"/>
                <w:szCs w:val="16"/>
                <w:highlight w:val="none"/>
                <w:u w:val="none"/>
              </w:rPr>
            </w:pPr>
          </w:p>
        </w:tc>
      </w:tr>
      <w:tr w14:paraId="1B1CB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11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0F7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耦合器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98BB">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9B1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SC</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14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67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0843">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42FE">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8B7C">
            <w:pPr>
              <w:jc w:val="left"/>
              <w:rPr>
                <w:rFonts w:hint="eastAsia" w:ascii="微软雅黑" w:hAnsi="微软雅黑" w:eastAsia="微软雅黑" w:cs="微软雅黑"/>
                <w:i w:val="0"/>
                <w:iCs w:val="0"/>
                <w:color w:val="000000"/>
                <w:sz w:val="16"/>
                <w:szCs w:val="16"/>
                <w:highlight w:val="none"/>
                <w:u w:val="none"/>
              </w:rPr>
            </w:pPr>
          </w:p>
        </w:tc>
      </w:tr>
      <w:tr w14:paraId="7201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06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C54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光纤熔接</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E51E">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CEA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光纤熔接及测试</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0E1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A5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64</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760A">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8465">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3D05">
            <w:pPr>
              <w:jc w:val="left"/>
              <w:rPr>
                <w:rFonts w:hint="eastAsia" w:ascii="微软雅黑" w:hAnsi="微软雅黑" w:eastAsia="微软雅黑" w:cs="微软雅黑"/>
                <w:i w:val="0"/>
                <w:iCs w:val="0"/>
                <w:color w:val="000000"/>
                <w:sz w:val="16"/>
                <w:szCs w:val="16"/>
                <w:highlight w:val="none"/>
                <w:u w:val="none"/>
              </w:rPr>
            </w:pPr>
          </w:p>
        </w:tc>
      </w:tr>
      <w:tr w14:paraId="532D6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61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8CA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7395">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D49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国标RVV 2*2.5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DF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71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1600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42AD">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68F3">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6A91">
            <w:pPr>
              <w:jc w:val="left"/>
              <w:rPr>
                <w:rFonts w:hint="eastAsia" w:ascii="微软雅黑" w:hAnsi="微软雅黑" w:eastAsia="微软雅黑" w:cs="微软雅黑"/>
                <w:i w:val="0"/>
                <w:iCs w:val="0"/>
                <w:color w:val="000000"/>
                <w:sz w:val="16"/>
                <w:szCs w:val="16"/>
                <w:highlight w:val="none"/>
                <w:u w:val="none"/>
              </w:rPr>
            </w:pPr>
          </w:p>
        </w:tc>
      </w:tr>
      <w:tr w14:paraId="367D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71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0CA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KBG穿线管</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D2A2">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ECB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Ø25镀锌穿线管；直通；</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33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米</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2B4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F881">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6FA8">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1CDF">
            <w:pPr>
              <w:jc w:val="left"/>
              <w:rPr>
                <w:rFonts w:hint="eastAsia" w:ascii="微软雅黑" w:hAnsi="微软雅黑" w:eastAsia="微软雅黑" w:cs="微软雅黑"/>
                <w:i w:val="0"/>
                <w:iCs w:val="0"/>
                <w:color w:val="000000"/>
                <w:sz w:val="16"/>
                <w:szCs w:val="16"/>
                <w:highlight w:val="none"/>
                <w:u w:val="none"/>
              </w:rPr>
            </w:pPr>
          </w:p>
        </w:tc>
      </w:tr>
      <w:tr w14:paraId="242ED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D5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A08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PP阻燃波纹管</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9714">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D07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Ø25 PP阻燃波纹管 耐酸碱，耐腐蚀，耐老化</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7A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包</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C17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DD37">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124D">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FF47">
            <w:pPr>
              <w:jc w:val="left"/>
              <w:rPr>
                <w:rFonts w:hint="eastAsia" w:ascii="微软雅黑" w:hAnsi="微软雅黑" w:eastAsia="微软雅黑" w:cs="微软雅黑"/>
                <w:i w:val="0"/>
                <w:iCs w:val="0"/>
                <w:color w:val="000000"/>
                <w:sz w:val="16"/>
                <w:szCs w:val="16"/>
                <w:highlight w:val="none"/>
                <w:u w:val="none"/>
              </w:rPr>
            </w:pPr>
          </w:p>
        </w:tc>
      </w:tr>
      <w:tr w14:paraId="6811D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21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5389">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E630">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D79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2A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090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8406">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8663">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122B">
            <w:pPr>
              <w:jc w:val="left"/>
              <w:rPr>
                <w:rFonts w:hint="eastAsia" w:ascii="微软雅黑" w:hAnsi="微软雅黑" w:eastAsia="微软雅黑" w:cs="微软雅黑"/>
                <w:i w:val="0"/>
                <w:iCs w:val="0"/>
                <w:color w:val="000000"/>
                <w:sz w:val="16"/>
                <w:szCs w:val="16"/>
                <w:highlight w:val="none"/>
                <w:u w:val="none"/>
              </w:rPr>
            </w:pPr>
          </w:p>
        </w:tc>
      </w:tr>
      <w:tr w14:paraId="22D83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4"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91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D39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光纤收发器机架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1590">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199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插槽数：16槽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电源输入：AC100～260V，50～60HZ</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直流输出：DC5V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纹波：≤50mv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噪音：≤50mv</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电源保护：过压保护，过流保护，短路保护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工作温度：0～50℃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储存温度：-20℃～70℃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相对湿度：5%～95%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外型尺寸： 490*245*93mm（长×宽×高）</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FC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BE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B8C5">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9546">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6793">
            <w:pPr>
              <w:jc w:val="left"/>
              <w:rPr>
                <w:rFonts w:hint="eastAsia" w:ascii="微软雅黑" w:hAnsi="微软雅黑" w:eastAsia="微软雅黑" w:cs="微软雅黑"/>
                <w:i w:val="0"/>
                <w:iCs w:val="0"/>
                <w:color w:val="000000"/>
                <w:sz w:val="16"/>
                <w:szCs w:val="16"/>
                <w:highlight w:val="none"/>
                <w:u w:val="none"/>
              </w:rPr>
            </w:pPr>
          </w:p>
        </w:tc>
      </w:tr>
      <w:tr w14:paraId="53B8D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07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A6B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AC03">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4F2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FC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E9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28E1">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D299">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32B0">
            <w:pPr>
              <w:jc w:val="center"/>
              <w:rPr>
                <w:rFonts w:hint="eastAsia" w:ascii="微软雅黑" w:hAnsi="微软雅黑" w:eastAsia="微软雅黑" w:cs="微软雅黑"/>
                <w:i w:val="0"/>
                <w:iCs w:val="0"/>
                <w:color w:val="000000"/>
                <w:sz w:val="16"/>
                <w:szCs w:val="16"/>
                <w:highlight w:val="none"/>
                <w:u w:val="none"/>
              </w:rPr>
            </w:pPr>
          </w:p>
        </w:tc>
      </w:tr>
      <w:tr w14:paraId="19AE5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577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9FB8">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72DF">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AFD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A8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B34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B70B">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B245">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C7BD">
            <w:pPr>
              <w:jc w:val="center"/>
              <w:rPr>
                <w:rFonts w:hint="eastAsia" w:ascii="微软雅黑" w:hAnsi="微软雅黑" w:eastAsia="微软雅黑" w:cs="微软雅黑"/>
                <w:i w:val="0"/>
                <w:iCs w:val="0"/>
                <w:color w:val="000000"/>
                <w:sz w:val="16"/>
                <w:szCs w:val="16"/>
                <w:highlight w:val="none"/>
                <w:u w:val="none"/>
              </w:rPr>
            </w:pPr>
          </w:p>
        </w:tc>
      </w:tr>
      <w:tr w14:paraId="3274D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F8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34</w:t>
            </w:r>
          </w:p>
        </w:tc>
        <w:tc>
          <w:tcPr>
            <w:tcW w:w="8167" w:type="dxa"/>
            <w:gridSpan w:val="6"/>
            <w:tcBorders>
              <w:top w:val="single" w:color="000000" w:sz="4" w:space="0"/>
              <w:left w:val="nil"/>
              <w:bottom w:val="single" w:color="000000" w:sz="4" w:space="0"/>
              <w:right w:val="nil"/>
            </w:tcBorders>
            <w:shd w:val="clear" w:color="auto" w:fill="auto"/>
            <w:vAlign w:val="center"/>
          </w:tcPr>
          <w:p w14:paraId="51EB52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小计</w:t>
            </w:r>
          </w:p>
        </w:tc>
        <w:tc>
          <w:tcPr>
            <w:tcW w:w="783" w:type="dxa"/>
            <w:tcBorders>
              <w:top w:val="single" w:color="000000" w:sz="4" w:space="0"/>
              <w:left w:val="nil"/>
              <w:bottom w:val="single" w:color="000000" w:sz="4" w:space="0"/>
              <w:right w:val="single" w:color="000000" w:sz="4" w:space="0"/>
            </w:tcBorders>
            <w:shd w:val="clear" w:color="auto" w:fill="auto"/>
            <w:vAlign w:val="center"/>
          </w:tcPr>
          <w:p w14:paraId="5C1B6C0E">
            <w:pP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B5D3">
            <w:pPr>
              <w:jc w:val="left"/>
              <w:rPr>
                <w:rFonts w:hint="eastAsia" w:ascii="微软雅黑" w:hAnsi="微软雅黑" w:eastAsia="微软雅黑" w:cs="微软雅黑"/>
                <w:i w:val="0"/>
                <w:iCs w:val="0"/>
                <w:color w:val="000000"/>
                <w:sz w:val="16"/>
                <w:szCs w:val="16"/>
                <w:highlight w:val="none"/>
                <w:u w:val="none"/>
              </w:rPr>
            </w:pPr>
          </w:p>
        </w:tc>
      </w:tr>
      <w:tr w14:paraId="1E85D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2" w:hRule="atLeast"/>
        </w:trPr>
        <w:tc>
          <w:tcPr>
            <w:tcW w:w="833" w:type="dxa"/>
            <w:tcBorders>
              <w:top w:val="single" w:color="000000" w:sz="4" w:space="0"/>
              <w:left w:val="single" w:color="000000" w:sz="4" w:space="0"/>
              <w:bottom w:val="nil"/>
              <w:right w:val="single" w:color="000000" w:sz="4" w:space="0"/>
            </w:tcBorders>
            <w:shd w:val="clear" w:color="auto" w:fill="auto"/>
            <w:vAlign w:val="center"/>
          </w:tcPr>
          <w:p w14:paraId="799849B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二、</w:t>
            </w:r>
          </w:p>
        </w:tc>
        <w:tc>
          <w:tcPr>
            <w:tcW w:w="8950" w:type="dxa"/>
            <w:gridSpan w:val="7"/>
            <w:tcBorders>
              <w:top w:val="nil"/>
              <w:left w:val="nil"/>
              <w:bottom w:val="nil"/>
              <w:right w:val="nil"/>
            </w:tcBorders>
            <w:shd w:val="clear" w:color="auto" w:fill="auto"/>
            <w:vAlign w:val="center"/>
          </w:tcPr>
          <w:p w14:paraId="1940120B">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snapToGrid w:val="0"/>
                <w:color w:val="000000"/>
                <w:kern w:val="0"/>
                <w:sz w:val="22"/>
                <w:szCs w:val="22"/>
                <w:highlight w:val="none"/>
                <w:u w:val="none"/>
                <w:lang w:val="en-US" w:eastAsia="zh-CN" w:bidi="ar"/>
              </w:rPr>
              <w:t>周界摄像头</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5441">
            <w:pPr>
              <w:jc w:val="left"/>
              <w:rPr>
                <w:rFonts w:hint="eastAsia" w:ascii="微软雅黑" w:hAnsi="微软雅黑" w:eastAsia="微软雅黑" w:cs="微软雅黑"/>
                <w:i w:val="0"/>
                <w:iCs w:val="0"/>
                <w:color w:val="000000"/>
                <w:sz w:val="16"/>
                <w:szCs w:val="16"/>
                <w:highlight w:val="none"/>
                <w:u w:val="none"/>
              </w:rPr>
            </w:pPr>
          </w:p>
        </w:tc>
      </w:tr>
      <w:tr w14:paraId="249E6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57"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4F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663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周界网络摄像机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026E">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580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7T轻智能筒型摄像机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F1.0超大光圈镜头，日夜臻全彩成像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采用深度学习算法，以海量图片及视频资源为路基，通过机器自身提取目标特征，形成深层可供学习的图像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支持智能资源模式切换：人脸抓拍（默认），smart事件，热度图，人数统计，道路监控，普通监控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鳞镜补光：采用隐藏式灯珠设计，通过鳞甲密布排列形成的镜面反射出光，见光不见灯；增加发光面积，降低聚光效果，补光柔和均匀</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Smart录像：支持断网续传功能保证录像不丢失，配合Smart NVR/SD卡实现事件录像的智能后检索、分析和浓缩播放，Smart编码：支持低码率、低延时、ROI感兴趣区域增强编码、SVC自适应编码技术，支持Smart265编码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系统功能：支持开放型网络视频接口、ISAPI、GB/T28181和OTAP；支持三码流技术，支持同时20路取流；支持萤石平台接入</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宽动态：支持宽动态范围达120 dB，适合逆光环境监控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图像相关：支持400万像素@60 fps实时帧率，图像更流畅；支持透雾，电子防抖，并具有多种白平衡模式，适合各种场景需求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安全服务：支持三级用户权限管理，支持授权的用户和密码，支持IP地址过滤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接口功能：内置MicroSD/MicroSDHC/MicroSDXC插槽，最大支持512 GB；支持10 M/100 M自适应网口；支持一对报警输入输出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人数统计模式：a)人员统计：支持实时报警，人数变化报警和拥堵等级变化报警，并支持人数异常和停留时间异常报警，b)异常行为检测：支持离岗检测，以及在离岗检测报警，c)区域关注度：支持区域人数检测、停留时长检测、实时数据上传，并支持区域人数分析和队列状态分析展示，d)热度图：支持设备上报和平台查询方式获取信息，并支持上报伪彩图背景大图</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道路监控模式：a)车辆检测：支持车牌识别并抓拍，车牌号码/车身颜色/车辆类型/车辆品牌，b)混行检测：检测正向或逆向行驶的车辆以及行人和非机动车，自动对车辆牌照进行识别，可以抓拍无车牌的车辆图片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mart事件模式：越界侦测，区域入侵侦测，进入/离开区域侦测，徘徊侦测，人员聚集侦测，快速运动侦测，停车侦测，物品遗留/拿取侦测，场景变更侦测，音频陡升/陡降侦测，音频有无侦测，虚焦侦测。其中越界侦测，区域入侵侦测，进入/离开区域侦测为深度学习算法，支持联动声光预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人脸抓拍模式：a)支持对运动人脸进行检测、抓拍、评分、筛选，输出优选的人脸，b)支持人脸去误报、快速抓拍人脸，c)支持快速抓拍和优选抓拍两种模式，d)最多同时检测30张人脸，e)支持人脸去重</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支持电量检测：支持设备功耗检测，支持设备功耗报表展示，报表类型支持日报表和周报表（默认日报表，单位瓦时（W·h））</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传感器类型：1/1.8" Progressive Scan CMOS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最低照度：彩色：0.0005 Lux @（F1.0，AGC ON），0 Lux with Light</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宽动态：120 dB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焦距&amp;视场角：2.8~4 mm：水平视场角：110.0°~70.7°，垂直视场角：59.3°~39.2°，对角视场角：130.6°~81.8°</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4~6 mm：水平视场角：92.9°~56.1°，垂直视场角：46.4°~30.2°，对角视场角：112.7°~65.8°</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6~9 mm：水平视场角：57.4°~36.3°，垂直视场角：30.4°~19.8°，对角视场角：67.4°~42.2°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补光灯类型：鳞镜补光，暖白光，4颗灯珠</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补光距离：白光：普通监控：最远可达30 m，人脸抓拍/识别：最远可达5 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防补光过曝：支持防补光过曝开启和关闭，开启下支持自动和手动，手动支持根据距离等级控制补光灯亮度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最大图像尺寸：2560 × 1440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视频压缩标准：H.265/H.264/MJPEG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网络：1个RJ45 10 M/100 M自适应以太网口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SD卡扩展：内置MicroSD/MicroSDHC/MicroSDXC 插槽，最大支持512GB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音频：1路输入（Line in），1路输出（Line out），2个内置麦克风，1个内置扬声器</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报警：1路输入，1路输出（报警输入支持开关量，报警输出最大支持DC12 V，30 mA）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复位：支持</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电源输出：DC12 V，100 mA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接口类型：外甩线</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RS-485：1个RS-485接口，半双工模式，支持自适应HIKVISION，PELCO-P和PELCO-D协议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产品尺寸：180.3 × 99.2 × 94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包装尺寸：315 × 137 × 141 mm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设备重量：750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带包装重量：1080 g</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存储温湿度：-30 ℃~60 ℃，湿度小于95%（无凝结）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启动和工作温湿度：-30 ℃~60 ℃，湿度小于95%（无凝结）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电流及功耗：DC：12 V，1.5 A，最大功耗：18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PoE：802.3at，42.5 V~57 V，0.49 A~0.36 A，最大功耗：20.6 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供电方式：DC：12 V ± 20%，支持防反接保护</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PoE：802.3at，Type 2，Class 4</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电源接口类型：3芯电源接口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线缆长度：35 cm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防护：IP67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ED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FE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C5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33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28E9">
            <w:pPr>
              <w:keepNext w:val="0"/>
              <w:keepLines w:val="0"/>
              <w:widowControl/>
              <w:suppressLineNumbers w:val="0"/>
              <w:jc w:val="left"/>
              <w:textAlignment w:val="center"/>
              <w:rPr>
                <w:rFonts w:hint="eastAsia" w:ascii="微软雅黑" w:hAnsi="微软雅黑" w:eastAsia="微软雅黑" w:cs="微软雅黑"/>
                <w:b/>
                <w:bCs/>
                <w:i w:val="0"/>
                <w:iCs w:val="0"/>
                <w:color w:val="FF0000"/>
                <w:sz w:val="16"/>
                <w:szCs w:val="16"/>
                <w:highlight w:val="none"/>
                <w:u w:val="none"/>
              </w:rPr>
            </w:pPr>
            <w:r>
              <w:rPr>
                <w:rFonts w:hint="eastAsia" w:ascii="微软雅黑" w:hAnsi="微软雅黑" w:eastAsia="微软雅黑" w:cs="微软雅黑"/>
                <w:b/>
                <w:bCs/>
                <w:i w:val="0"/>
                <w:iCs w:val="0"/>
                <w:snapToGrid w:val="0"/>
                <w:color w:val="000000"/>
                <w:kern w:val="0"/>
                <w:sz w:val="16"/>
                <w:szCs w:val="16"/>
                <w:highlight w:val="none"/>
                <w:u w:val="none"/>
                <w:lang w:val="en-US" w:eastAsia="zh-CN" w:bidi="ar"/>
              </w:rPr>
              <w:t>此项由甲方集采，乙方安装</w:t>
            </w:r>
          </w:p>
        </w:tc>
      </w:tr>
      <w:tr w14:paraId="14111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0"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65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756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硬盘</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1EBE">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5F3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10TB容量，3.5英寸，SATA3.0接口，5400RPM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空气盘， CMR传统磁记录</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传输速率215MB/s，流畅存储视频有效防止丢帧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高级格式（AF）512e扇区技术，保障硬盘扇区4K对齐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满足数据严苛的7*24小时运行可靠性、安全性的需求</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支持3年有限质保服务</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适用海拔高度范围-305m至3050m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标称容量：10TB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外形规格：3.5-inch</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接口类型：SATA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刻录技术：CMR</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转速：5400RPM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缓存：256MB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最大读取速度：215MB/s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接口传输速率（最大值）：6.0Gb/s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平均读写功率（W）：5.3W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加载/卸载周期：600,000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MTBF：1,000,000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年负荷（TB/年）：180TB</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工作状态温度(°C)：0-65℃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尺寸：147mm(L)×101.6mm(W)×26.1mm(H)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492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1D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AA6B">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0C83">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B96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40路监控保存90天，需要123T，开启smart265需要82TB；现有10T*3，需要新增52TB，可使用10T*6；共计90TB</w:t>
            </w:r>
          </w:p>
        </w:tc>
      </w:tr>
      <w:tr w14:paraId="4C050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1"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2F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F77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管理服务器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8653">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2AF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标准机架式2U服务器,CPU≥16核,内存≥32G，硬盘大于等于4T，4个干兆电口，2个万兆光口(含多模光模块)，集成IPMI管理模块，前置12个3.5”热插拔SAS/SATA盘位，冗余电源</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64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AD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D8D6">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1C27">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86D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用于运行智慧安防平台和原有的IVMS4200平台</w:t>
            </w:r>
          </w:p>
        </w:tc>
      </w:tr>
      <w:tr w14:paraId="22D52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B7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FA1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壁装监控立杆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6CDE">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9B74">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L型壁装监控立杆 ；双枪支架</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8F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06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17</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3E14">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662D">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0FCB">
            <w:pPr>
              <w:jc w:val="left"/>
              <w:rPr>
                <w:rFonts w:hint="eastAsia" w:ascii="微软雅黑" w:hAnsi="微软雅黑" w:eastAsia="微软雅黑" w:cs="微软雅黑"/>
                <w:i w:val="0"/>
                <w:iCs w:val="0"/>
                <w:color w:val="000000"/>
                <w:sz w:val="16"/>
                <w:szCs w:val="16"/>
                <w:highlight w:val="none"/>
                <w:u w:val="none"/>
              </w:rPr>
            </w:pPr>
          </w:p>
        </w:tc>
      </w:tr>
      <w:tr w14:paraId="4364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3"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E3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632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室外防水箱</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72AA">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AA6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漏电保护器*3；插牌；开关电源；防雷器；· 工控配置：2P 16A空开 1个；2P 20kA 防浪涌(防雷)模块 1个；5孔导轨式插座 3个；高压接线端子 2个；接地铜排 1个；</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基础配置：十字铜芯一字锁，内置两条工业导轨（280mm/80mm）,一块多孔工业挂板（360mm*160mm），一条接地铜排；</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防水等级：IP65</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支持壁挂、抱箍、落地等三种安装方式；</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B8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A1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572C">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4269">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235B">
            <w:pPr>
              <w:jc w:val="left"/>
              <w:rPr>
                <w:rFonts w:hint="eastAsia" w:ascii="微软雅黑" w:hAnsi="微软雅黑" w:eastAsia="微软雅黑" w:cs="微软雅黑"/>
                <w:i w:val="0"/>
                <w:iCs w:val="0"/>
                <w:color w:val="000000"/>
                <w:sz w:val="16"/>
                <w:szCs w:val="16"/>
                <w:highlight w:val="none"/>
                <w:u w:val="none"/>
              </w:rPr>
            </w:pPr>
          </w:p>
        </w:tc>
      </w:tr>
      <w:tr w14:paraId="42149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23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AE2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非屏蔽网线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449E">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D14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国标 超五类非屏蔽网线</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30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箱</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8E7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B9A8">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1D48">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C1AC">
            <w:pPr>
              <w:jc w:val="left"/>
              <w:rPr>
                <w:rFonts w:hint="eastAsia" w:ascii="微软雅黑" w:hAnsi="微软雅黑" w:eastAsia="微软雅黑" w:cs="微软雅黑"/>
                <w:i w:val="0"/>
                <w:iCs w:val="0"/>
                <w:color w:val="000000"/>
                <w:sz w:val="16"/>
                <w:szCs w:val="16"/>
                <w:highlight w:val="none"/>
                <w:u w:val="none"/>
              </w:rPr>
            </w:pPr>
          </w:p>
        </w:tc>
      </w:tr>
      <w:tr w14:paraId="08FDD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3"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9C7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774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8口POE接入交换机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95FF">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F305">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个10/100/1000Mbps电口（支持PoE/PoE+），1个10/100/1000Mbps电口。整机POE最大输出功率120W，支持端口状态显示、端口流量统计、PoE端口输出功率状态、端口双工/协商速率配置、流控配置、PoE输出开关，支持广播风暴抑制、端口限速、端口隔离，支持端口镜像、环路保护、线缆检测支持EWEB/APP/MACC管理</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64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B2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6CB8">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ED5E">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DF55">
            <w:pPr>
              <w:jc w:val="left"/>
              <w:rPr>
                <w:rFonts w:hint="eastAsia" w:ascii="微软雅黑" w:hAnsi="微软雅黑" w:eastAsia="微软雅黑" w:cs="微软雅黑"/>
                <w:i w:val="0"/>
                <w:iCs w:val="0"/>
                <w:color w:val="000000"/>
                <w:sz w:val="16"/>
                <w:szCs w:val="16"/>
                <w:highlight w:val="none"/>
                <w:u w:val="none"/>
              </w:rPr>
            </w:pPr>
          </w:p>
        </w:tc>
      </w:tr>
      <w:tr w14:paraId="0C1E3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3"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84B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2F5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4口POE交换机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9F32">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97E2">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个10/100/1000Mbps电口（支持PoE/PoE+），1个10/100/1000Mbps电口。整机POE最大输出功率54W，支持端口状态显示、端口流量统计、PoE端口输出功率状态、端口双工/协商速率配置、流控配置、PoE输出开关，支持广播风暴抑制、端口限速、端口隔离，支持端口镜像、环路保护、线缆检测，支持EWEB/APP/MACC管理。</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1B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5A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22A8">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6093">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C986">
            <w:pPr>
              <w:jc w:val="left"/>
              <w:rPr>
                <w:rFonts w:hint="eastAsia" w:ascii="微软雅黑" w:hAnsi="微软雅黑" w:eastAsia="微软雅黑" w:cs="微软雅黑"/>
                <w:i w:val="0"/>
                <w:iCs w:val="0"/>
                <w:color w:val="000000"/>
                <w:sz w:val="16"/>
                <w:szCs w:val="16"/>
                <w:highlight w:val="none"/>
                <w:u w:val="none"/>
              </w:rPr>
            </w:pPr>
          </w:p>
        </w:tc>
      </w:tr>
      <w:tr w14:paraId="0E011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7"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43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B22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光纤收发器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513A">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BC1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光纤端口  1个1.25Gbps SC光纤接口</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传输介质  网线：超五类或以上UTP和STP</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光纤：9/125um单模光纤  1000M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光波长  A端：TX1310/RX1550nm  B端：RX1550nm/TX1310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网络标准   IEEE 802.3、IEEE 802.3u、IEEE 802.3ab、IEEE 802.3z、IEEE 802.3x</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传输距离  20 KM</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背板带宽  4Gbps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包转发率 2.98Mpps</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输入电压  DC5V/2A</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功耗  满载＜5W</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工作温度  -20℃ ~ +70℃</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存储温度  -15℃ ~ +35℃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工作湿度  5%-95%（无凝结）</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散热方式 无风扇</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外形尺寸 (长x深x高）  94mm×71mm×26mm </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安装方式  桌面式/壁挂式</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认证  CE, FCC, ROHS</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10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30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7</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C710">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34AC">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E671">
            <w:pPr>
              <w:jc w:val="left"/>
              <w:rPr>
                <w:rFonts w:hint="eastAsia" w:ascii="微软雅黑" w:hAnsi="微软雅黑" w:eastAsia="微软雅黑" w:cs="微软雅黑"/>
                <w:i w:val="0"/>
                <w:iCs w:val="0"/>
                <w:color w:val="000000"/>
                <w:sz w:val="16"/>
                <w:szCs w:val="16"/>
                <w:highlight w:val="none"/>
                <w:u w:val="none"/>
              </w:rPr>
            </w:pPr>
          </w:p>
        </w:tc>
      </w:tr>
      <w:tr w14:paraId="5C805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1E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695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辅材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2C57">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83ED">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设备安装辅材</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BC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0A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9944">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E5C0">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E22C">
            <w:pPr>
              <w:jc w:val="center"/>
              <w:rPr>
                <w:rFonts w:hint="eastAsia" w:ascii="微软雅黑" w:hAnsi="微软雅黑" w:eastAsia="微软雅黑" w:cs="微软雅黑"/>
                <w:i w:val="0"/>
                <w:iCs w:val="0"/>
                <w:color w:val="000000"/>
                <w:sz w:val="16"/>
                <w:szCs w:val="16"/>
                <w:highlight w:val="none"/>
                <w:u w:val="none"/>
              </w:rPr>
            </w:pPr>
          </w:p>
        </w:tc>
      </w:tr>
      <w:tr w14:paraId="05B50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11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729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F0E8">
            <w:pPr>
              <w:jc w:val="left"/>
              <w:rPr>
                <w:rFonts w:hint="eastAsia" w:ascii="微软雅黑" w:hAnsi="微软雅黑" w:eastAsia="微软雅黑" w:cs="微软雅黑"/>
                <w:i w:val="0"/>
                <w:iCs w:val="0"/>
                <w:color w:val="000000"/>
                <w:sz w:val="16"/>
                <w:szCs w:val="16"/>
                <w:highlight w:val="none"/>
                <w:u w:val="none"/>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18E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综合布线施工、设备安装调试费</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701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E6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A9D0">
            <w:pPr>
              <w:jc w:val="center"/>
              <w:rPr>
                <w:rFonts w:hint="eastAsia" w:ascii="微软雅黑" w:hAnsi="微软雅黑" w:eastAsia="微软雅黑" w:cs="微软雅黑"/>
                <w:i w:val="0"/>
                <w:iCs w:val="0"/>
                <w:color w:val="000000"/>
                <w:sz w:val="16"/>
                <w:szCs w:val="16"/>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CBAD">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5027">
            <w:pPr>
              <w:jc w:val="center"/>
              <w:rPr>
                <w:rFonts w:hint="eastAsia" w:ascii="微软雅黑" w:hAnsi="微软雅黑" w:eastAsia="微软雅黑" w:cs="微软雅黑"/>
                <w:i w:val="0"/>
                <w:iCs w:val="0"/>
                <w:color w:val="000000"/>
                <w:sz w:val="16"/>
                <w:szCs w:val="16"/>
                <w:highlight w:val="none"/>
                <w:u w:val="none"/>
              </w:rPr>
            </w:pPr>
          </w:p>
        </w:tc>
      </w:tr>
      <w:tr w14:paraId="715F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81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13</w:t>
            </w:r>
          </w:p>
        </w:tc>
        <w:tc>
          <w:tcPr>
            <w:tcW w:w="81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6003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小计</w:t>
            </w:r>
          </w:p>
        </w:tc>
        <w:tc>
          <w:tcPr>
            <w:tcW w:w="17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90208C">
            <w:pPr>
              <w:jc w:val="left"/>
              <w:rPr>
                <w:rFonts w:hint="eastAsia" w:ascii="微软雅黑" w:hAnsi="微软雅黑" w:eastAsia="微软雅黑" w:cs="微软雅黑"/>
                <w:i w:val="0"/>
                <w:iCs w:val="0"/>
                <w:color w:val="000000"/>
                <w:sz w:val="16"/>
                <w:szCs w:val="16"/>
                <w:highlight w:val="none"/>
                <w:u w:val="none"/>
              </w:rPr>
            </w:pPr>
          </w:p>
        </w:tc>
      </w:tr>
      <w:tr w14:paraId="243D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3E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14</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829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总计</w:t>
            </w:r>
          </w:p>
        </w:tc>
        <w:tc>
          <w:tcPr>
            <w:tcW w:w="780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CA00C23">
            <w:pPr>
              <w:jc w:val="center"/>
              <w:rPr>
                <w:rFonts w:hint="eastAsia" w:ascii="微软雅黑" w:hAnsi="微软雅黑" w:eastAsia="微软雅黑" w:cs="微软雅黑"/>
                <w:i w:val="0"/>
                <w:iCs w:val="0"/>
                <w:color w:val="000000"/>
                <w:sz w:val="16"/>
                <w:szCs w:val="16"/>
                <w:highlight w:val="none"/>
                <w:u w:val="none"/>
              </w:rPr>
            </w:pPr>
          </w:p>
        </w:tc>
        <w:tc>
          <w:tcPr>
            <w:tcW w:w="930" w:type="dxa"/>
            <w:tcBorders>
              <w:top w:val="single" w:color="A6A6A6" w:sz="4" w:space="0"/>
              <w:left w:val="nil"/>
              <w:bottom w:val="single" w:color="000000" w:sz="4" w:space="0"/>
              <w:right w:val="single" w:color="A6A6A6" w:sz="4" w:space="0"/>
            </w:tcBorders>
            <w:shd w:val="clear" w:color="auto" w:fill="FFFFFF"/>
            <w:vAlign w:val="top"/>
          </w:tcPr>
          <w:p w14:paraId="4E6AD982">
            <w:pPr>
              <w:rPr>
                <w:rFonts w:hint="eastAsia" w:ascii="微软雅黑" w:hAnsi="微软雅黑" w:eastAsia="微软雅黑" w:cs="微软雅黑"/>
                <w:i w:val="0"/>
                <w:iCs w:val="0"/>
                <w:color w:val="000000"/>
                <w:sz w:val="16"/>
                <w:szCs w:val="16"/>
                <w:highlight w:val="none"/>
                <w:u w:val="none"/>
              </w:rPr>
            </w:pPr>
          </w:p>
        </w:tc>
      </w:tr>
    </w:tbl>
    <w:p w14:paraId="093FAC4F">
      <w:pPr>
        <w:pStyle w:val="8"/>
        <w:spacing w:before="237" w:line="220" w:lineRule="auto"/>
        <w:ind w:left="1949"/>
        <w:rPr>
          <w:b/>
          <w:bCs/>
          <w:spacing w:val="-3"/>
          <w:sz w:val="21"/>
          <w:szCs w:val="21"/>
          <w:highlight w:val="none"/>
        </w:rPr>
      </w:pPr>
    </w:p>
    <w:p w14:paraId="447C8BDA">
      <w:pPr>
        <w:pStyle w:val="8"/>
        <w:spacing w:before="237" w:line="220" w:lineRule="auto"/>
        <w:ind w:left="1949"/>
        <w:rPr>
          <w:b/>
          <w:bCs/>
          <w:spacing w:val="-3"/>
          <w:sz w:val="21"/>
          <w:szCs w:val="21"/>
          <w:highlight w:val="none"/>
        </w:rPr>
      </w:pPr>
    </w:p>
    <w:tbl>
      <w:tblPr>
        <w:tblStyle w:val="17"/>
        <w:tblW w:w="10520" w:type="dxa"/>
        <w:tblInd w:w="-84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1000"/>
        <w:gridCol w:w="5050"/>
        <w:gridCol w:w="1117"/>
        <w:gridCol w:w="717"/>
        <w:gridCol w:w="700"/>
        <w:gridCol w:w="1203"/>
      </w:tblGrid>
      <w:tr w14:paraId="369FE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trPr>
        <w:tc>
          <w:tcPr>
            <w:tcW w:w="10520" w:type="dxa"/>
            <w:gridSpan w:val="7"/>
            <w:tcBorders>
              <w:top w:val="nil"/>
              <w:left w:val="nil"/>
              <w:bottom w:val="nil"/>
              <w:right w:val="nil"/>
            </w:tcBorders>
            <w:shd w:val="clear" w:color="auto" w:fill="auto"/>
            <w:noWrap/>
            <w:vAlign w:val="center"/>
          </w:tcPr>
          <w:p w14:paraId="4C17F8E9">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highlight w:val="none"/>
                <w:u w:val="none"/>
              </w:rPr>
            </w:pPr>
            <w:r>
              <w:rPr>
                <w:rFonts w:hint="eastAsia" w:ascii="微软雅黑" w:hAnsi="微软雅黑" w:eastAsia="微软雅黑" w:cs="微软雅黑"/>
                <w:b/>
                <w:bCs/>
                <w:i w:val="0"/>
                <w:iCs w:val="0"/>
                <w:snapToGrid w:val="0"/>
                <w:color w:val="000000"/>
                <w:kern w:val="0"/>
                <w:sz w:val="32"/>
                <w:szCs w:val="32"/>
                <w:highlight w:val="none"/>
                <w:u w:val="none"/>
                <w:lang w:val="en-US" w:eastAsia="zh-CN" w:bidi="ar"/>
              </w:rPr>
              <w:t>智慧安防平台</w:t>
            </w:r>
          </w:p>
        </w:tc>
      </w:tr>
      <w:tr w14:paraId="6A36A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8AB3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序号</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2B2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功能模块</w:t>
            </w:r>
          </w:p>
        </w:tc>
        <w:tc>
          <w:tcPr>
            <w:tcW w:w="5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F0E6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规格、功能描述</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D0B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单价（元）</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7A7B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单位</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6F3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数量</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7061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highlight w:val="none"/>
                <w:u w:val="none"/>
              </w:rPr>
            </w:pPr>
            <w:r>
              <w:rPr>
                <w:rFonts w:hint="eastAsia" w:ascii="微软雅黑" w:hAnsi="微软雅黑" w:eastAsia="微软雅黑" w:cs="微软雅黑"/>
                <w:b/>
                <w:bCs/>
                <w:i w:val="0"/>
                <w:iCs w:val="0"/>
                <w:snapToGrid w:val="0"/>
                <w:color w:val="000000"/>
                <w:kern w:val="0"/>
                <w:sz w:val="18"/>
                <w:szCs w:val="18"/>
                <w:highlight w:val="none"/>
                <w:u w:val="none"/>
                <w:lang w:val="en-US" w:eastAsia="zh-CN" w:bidi="ar"/>
              </w:rPr>
              <w:t>合计（元）</w:t>
            </w:r>
          </w:p>
        </w:tc>
      </w:tr>
      <w:tr w14:paraId="3891F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4"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EA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BB3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基础信息管理</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B5E95CE">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1、系统基础配置：支持系统初始化配置与账号安全策略：密码有效期、到期提醒等策略</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2、组织与权限管理：</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（1）组织架构列表：组织上级、组织名称、唯一标识码、组织类型，以及组织的增删改查；部门信息：部门列表、部门信息的增删改查、导出功能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（2）支持人员信息维护、状态管理与统一纳管：用户所属角色、用户名、所属组织、用户类型、在线状态、用户状态、密码有效期、用户有效期；人员列表以及对应的增删改查导入、导出功能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（3）支持角色定义及权限分配：配置角色名称、角色等级、角色描述、角色的菜单权限、部门权限、逻辑组织权限、基础组织权限和资源操作权限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3、资源管理：支持多平台、多系统资源的级联接入与统一管理：包括大华、海康威视厂商的报警设备、门禁设备、摄像头设备、停车闸设备的SDK对接与管理</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4、数据与空间配置：首页，驾驶舱：支持运维情况、资产状态和报警信息的综合展示；支持运维相关数据的统计分析；支持智能告警按类型、区域、时段统计分析；停车数据统计分析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5、安防基础配置：支持报警类型新增、设定报警等级</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5657">
            <w:pPr>
              <w:rPr>
                <w:rFonts w:hint="eastAsia" w:ascii="微软雅黑" w:hAnsi="微软雅黑" w:eastAsia="微软雅黑" w:cs="微软雅黑"/>
                <w:i w:val="0"/>
                <w:iCs w:val="0"/>
                <w:color w:val="000000"/>
                <w:sz w:val="16"/>
                <w:szCs w:val="16"/>
                <w:highlight w:val="none"/>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B66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420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1D26">
            <w:pPr>
              <w:jc w:val="center"/>
              <w:rPr>
                <w:rFonts w:hint="eastAsia" w:ascii="微软雅黑" w:hAnsi="微软雅黑" w:eastAsia="微软雅黑" w:cs="微软雅黑"/>
                <w:i w:val="0"/>
                <w:iCs w:val="0"/>
                <w:color w:val="000000"/>
                <w:sz w:val="16"/>
                <w:szCs w:val="16"/>
                <w:highlight w:val="none"/>
                <w:u w:val="none"/>
              </w:rPr>
            </w:pPr>
          </w:p>
        </w:tc>
      </w:tr>
      <w:tr w14:paraId="12FC1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0D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257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设备运维管理</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4636F55">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1、运行监控：支持设备运行状态监控，设备实时报警监控</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9F48">
            <w:pPr>
              <w:rPr>
                <w:rFonts w:hint="eastAsia" w:ascii="微软雅黑" w:hAnsi="微软雅黑" w:eastAsia="微软雅黑" w:cs="微软雅黑"/>
                <w:i w:val="0"/>
                <w:iCs w:val="0"/>
                <w:color w:val="000000"/>
                <w:sz w:val="16"/>
                <w:szCs w:val="16"/>
                <w:highlight w:val="none"/>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25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FE0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ECB41">
            <w:pPr>
              <w:jc w:val="center"/>
              <w:rPr>
                <w:rFonts w:hint="eastAsia" w:ascii="微软雅黑" w:hAnsi="微软雅黑" w:eastAsia="微软雅黑" w:cs="微软雅黑"/>
                <w:i w:val="0"/>
                <w:iCs w:val="0"/>
                <w:color w:val="000000"/>
                <w:sz w:val="16"/>
                <w:szCs w:val="16"/>
                <w:highlight w:val="none"/>
                <w:u w:val="none"/>
              </w:rPr>
            </w:pPr>
          </w:p>
        </w:tc>
      </w:tr>
      <w:tr w14:paraId="2EF19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7"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9D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49EF">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电子围栏管理</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A912E63">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1、设备管理：设备组织检索；报警设备新增、删除、导入、导出；报警通道管理；</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2、防区配置：报警主机的防区设置</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3、策略管理：报警权限：设置报警的权限等级；报警策略管理：报警规则、报警通知规则</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4、预案管理：触发报警，支持选择报警类型，出发报警，支持选择组织和选择设备及通道；支持不同报警场景下的预案配置，支持联动实时预览、联动录像、触发抓图、门禁四种联动动作</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9103D">
            <w:pPr>
              <w:rPr>
                <w:rFonts w:hint="eastAsia" w:ascii="微软雅黑" w:hAnsi="微软雅黑" w:eastAsia="微软雅黑" w:cs="微软雅黑"/>
                <w:i w:val="0"/>
                <w:iCs w:val="0"/>
                <w:color w:val="000000"/>
                <w:sz w:val="16"/>
                <w:szCs w:val="16"/>
                <w:highlight w:val="none"/>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308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859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6F5CF">
            <w:pPr>
              <w:jc w:val="center"/>
              <w:rPr>
                <w:rFonts w:hint="eastAsia" w:ascii="微软雅黑" w:hAnsi="微软雅黑" w:eastAsia="微软雅黑" w:cs="微软雅黑"/>
                <w:i w:val="0"/>
                <w:iCs w:val="0"/>
                <w:color w:val="000000"/>
                <w:sz w:val="16"/>
                <w:szCs w:val="16"/>
                <w:highlight w:val="none"/>
                <w:u w:val="none"/>
              </w:rPr>
            </w:pPr>
          </w:p>
        </w:tc>
      </w:tr>
      <w:tr w14:paraId="06EDA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2"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CD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ECE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监控视频管理</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top"/>
          </w:tcPr>
          <w:p w14:paraId="0C427999">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1、资源管理：支持视频设备与通道资源的统一接入与管理；是否属于防区及哪个防区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2、基础监控：</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（1）支持实时视频预览、多画面监控与快速定位</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（2）支持云台转动、变倍、预置位与巡航控制</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（3）支持配置视频上墙，及时上墙和计划上墙</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3、录像管理：支持按时间、通道、事件条件进行录像回放</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4、智能分析：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（1）基于视频分析识别跑冒滴漏等设备运行异常</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（2）基于视频分析识别周界、限制区域人员入侵行为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（3）基于视频分析识别人员违规作业与不规范行为</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（4）基于视频分析实现烟雾与明火的早期识别</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5、主动报警：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（1）根据【智能分析】功能的结果自动生成标准化告警事件以及防区报警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（2）支持弹窗、声音、大屏、录像抓拍等联动处置</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（3）支持告警事件自动关联录像与抓拍形成证据包</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375B">
            <w:pPr>
              <w:rPr>
                <w:rFonts w:hint="eastAsia" w:ascii="微软雅黑" w:hAnsi="微软雅黑" w:eastAsia="微软雅黑" w:cs="微软雅黑"/>
                <w:i w:val="0"/>
                <w:iCs w:val="0"/>
                <w:color w:val="000000"/>
                <w:sz w:val="16"/>
                <w:szCs w:val="16"/>
                <w:highlight w:val="none"/>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BE0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DA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E101">
            <w:pPr>
              <w:jc w:val="center"/>
              <w:rPr>
                <w:rFonts w:hint="eastAsia" w:ascii="微软雅黑" w:hAnsi="微软雅黑" w:eastAsia="微软雅黑" w:cs="微软雅黑"/>
                <w:i w:val="0"/>
                <w:iCs w:val="0"/>
                <w:color w:val="000000"/>
                <w:sz w:val="16"/>
                <w:szCs w:val="16"/>
                <w:highlight w:val="none"/>
                <w:u w:val="none"/>
              </w:rPr>
            </w:pPr>
          </w:p>
        </w:tc>
      </w:tr>
      <w:tr w14:paraId="0F05E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1"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8D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5</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CEB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 xml:space="preserve">门禁管理 </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F0E3F8F">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设备管理：支持门禁设备的统一接入与管理：设备组织检索；门禁设备新增、删除、导入、导出、移动，按照本级子节点、设备显示，支持设备名称，设备编号，ip检索；通道列表及通道信息编辑，支持通道名称，通道编号，设备名称进行检索；</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人员管理：支持人员与门禁凭证的关联管理；人员管理：人员基本信息、证件号码、手机号、所属部门、人员状态、权限有效期、生物特征、卡片；新增人员：人员姓名、所属部门、人员编号、证件类型、证件号码、性别、出生日期、人员身份、年龄、手机号、证件地址、民族、邮箱、国家地区、头像、生物特征、卡片、掌静脉信息人员信息的增删改查、导入、导出功能；卡片管理：卡号、卡介质、有效刷卡次数、持卡人、联系电话、所属部门、有效期、主附卡、卡状态、卡片的增删改查、导出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权限管理：门组配置：门组、所属组织、门禁通道数量、备注、操作，门禁通道、所属组织、操作；新增门组：门组名称、所属组织、备注、选择门禁通道；支持人员门禁权限的配置：部门、照片、姓名、人员编号、人员状态、持卡数量、生物特征、配置状态；授权配置：指定人员选择门禁通道权限、门组权限</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4、事件管理：支持人员通行记录和门禁事件查询：门禁记录：门禁通道列表；时间、姓名、人员编号、卡号、部门、门禁通道、开门类型、开门结果、时间类型、失败原因</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52A9">
            <w:pPr>
              <w:rPr>
                <w:rFonts w:hint="eastAsia" w:ascii="微软雅黑" w:hAnsi="微软雅黑" w:eastAsia="微软雅黑" w:cs="微软雅黑"/>
                <w:i w:val="0"/>
                <w:iCs w:val="0"/>
                <w:color w:val="000000"/>
                <w:sz w:val="16"/>
                <w:szCs w:val="16"/>
                <w:highlight w:val="none"/>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E8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9B4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306D9">
            <w:pPr>
              <w:jc w:val="center"/>
              <w:rPr>
                <w:rFonts w:hint="eastAsia" w:ascii="微软雅黑" w:hAnsi="微软雅黑" w:eastAsia="微软雅黑" w:cs="微软雅黑"/>
                <w:i w:val="0"/>
                <w:iCs w:val="0"/>
                <w:color w:val="000000"/>
                <w:sz w:val="16"/>
                <w:szCs w:val="16"/>
                <w:highlight w:val="none"/>
                <w:u w:val="none"/>
              </w:rPr>
            </w:pPr>
          </w:p>
        </w:tc>
      </w:tr>
      <w:tr w14:paraId="706E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42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6</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2F9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停车管理</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2B0E54D">
            <w:pPr>
              <w:keepNext w:val="0"/>
              <w:keepLines w:val="0"/>
              <w:widowControl/>
              <w:suppressLineNumbers w:val="0"/>
              <w:jc w:val="left"/>
              <w:textAlignment w:val="top"/>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1、车辆管理：支持车辆档案信息的集中管理，车辆档案列表：车牌号、识别情况、车牌颜色、车辆颜色、车主姓名、所属部门；车辆信息的增删改查、导入、导出功能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2、停车资源管理：停车场管理：场区名称、场区编号、所属组织、地址、电话号码、总车位数、当前剩余车位数；车位资源管理：车位不足预警</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3、出入口管理：支持车辆出入口与道闸设备管理：序号、编码、设备名称、设备类型、所属组织、在线状态；设备列表展示与设备的增删改查、导出等功能</w:t>
            </w:r>
            <w:r>
              <w:rPr>
                <w:rFonts w:hint="eastAsia" w:ascii="微软雅黑" w:hAnsi="微软雅黑" w:eastAsia="微软雅黑" w:cs="微软雅黑"/>
                <w:i w:val="0"/>
                <w:iCs w:val="0"/>
                <w:snapToGrid w:val="0"/>
                <w:color w:val="000000"/>
                <w:kern w:val="0"/>
                <w:sz w:val="16"/>
                <w:szCs w:val="16"/>
                <w:highlight w:val="none"/>
                <w:u w:val="none"/>
                <w:lang w:val="en-US" w:eastAsia="zh-CN" w:bidi="ar"/>
              </w:rPr>
              <w:br w:type="textWrapping"/>
            </w:r>
            <w:r>
              <w:rPr>
                <w:rFonts w:hint="eastAsia" w:ascii="微软雅黑" w:hAnsi="微软雅黑" w:eastAsia="微软雅黑" w:cs="微软雅黑"/>
                <w:i w:val="0"/>
                <w:iCs w:val="0"/>
                <w:snapToGrid w:val="0"/>
                <w:color w:val="000000"/>
                <w:kern w:val="0"/>
                <w:sz w:val="16"/>
                <w:szCs w:val="16"/>
                <w:highlight w:val="none"/>
                <w:u w:val="none"/>
                <w:lang w:val="en-US" w:eastAsia="zh-CN" w:bidi="ar"/>
              </w:rPr>
              <w:t>4、记录统计：支持车辆进出记录查询展示</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FC22">
            <w:pPr>
              <w:rPr>
                <w:rFonts w:hint="eastAsia" w:ascii="微软雅黑" w:hAnsi="微软雅黑" w:eastAsia="微软雅黑" w:cs="微软雅黑"/>
                <w:i w:val="0"/>
                <w:iCs w:val="0"/>
                <w:color w:val="000000"/>
                <w:sz w:val="16"/>
                <w:szCs w:val="16"/>
                <w:highlight w:val="none"/>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1E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33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0C45F">
            <w:pPr>
              <w:jc w:val="center"/>
              <w:rPr>
                <w:rFonts w:hint="eastAsia" w:ascii="微软雅黑" w:hAnsi="微软雅黑" w:eastAsia="微软雅黑" w:cs="微软雅黑"/>
                <w:i w:val="0"/>
                <w:iCs w:val="0"/>
                <w:color w:val="000000"/>
                <w:sz w:val="16"/>
                <w:szCs w:val="16"/>
                <w:highlight w:val="none"/>
                <w:u w:val="none"/>
              </w:rPr>
            </w:pPr>
          </w:p>
        </w:tc>
      </w:tr>
      <w:tr w14:paraId="54F0E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3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46B35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highlight w:val="none"/>
                <w:u w:val="none"/>
              </w:rPr>
            </w:pPr>
            <w:r>
              <w:rPr>
                <w:rFonts w:hint="eastAsia" w:ascii="微软雅黑" w:hAnsi="微软雅黑" w:eastAsia="微软雅黑" w:cs="微软雅黑"/>
                <w:i w:val="0"/>
                <w:iCs w:val="0"/>
                <w:snapToGrid w:val="0"/>
                <w:color w:val="000000"/>
                <w:kern w:val="0"/>
                <w:sz w:val="16"/>
                <w:szCs w:val="16"/>
                <w:highlight w:val="none"/>
                <w:u w:val="none"/>
                <w:lang w:val="en-US" w:eastAsia="zh-CN" w:bidi="ar"/>
              </w:rPr>
              <w:t>总计</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C821">
            <w:pPr>
              <w:jc w:val="center"/>
              <w:rPr>
                <w:rFonts w:hint="eastAsia" w:ascii="微软雅黑" w:hAnsi="微软雅黑" w:eastAsia="微软雅黑" w:cs="微软雅黑"/>
                <w:i w:val="0"/>
                <w:iCs w:val="0"/>
                <w:color w:val="000000"/>
                <w:sz w:val="16"/>
                <w:szCs w:val="16"/>
                <w:highlight w:val="none"/>
                <w:u w:val="none"/>
              </w:rPr>
            </w:pPr>
          </w:p>
        </w:tc>
      </w:tr>
    </w:tbl>
    <w:p w14:paraId="6A8B4798">
      <w:pPr>
        <w:rPr>
          <w:highlight w:val="none"/>
        </w:rPr>
      </w:pPr>
    </w:p>
    <w:p w14:paraId="005650EB">
      <w:pPr>
        <w:pStyle w:val="8"/>
        <w:spacing w:before="237" w:line="220" w:lineRule="auto"/>
        <w:ind w:left="1949"/>
        <w:rPr>
          <w:sz w:val="21"/>
          <w:szCs w:val="21"/>
          <w:highlight w:val="none"/>
        </w:rPr>
      </w:pPr>
      <w:r>
        <w:rPr>
          <w:b/>
          <w:bCs/>
          <w:spacing w:val="-3"/>
          <w:sz w:val="21"/>
          <w:szCs w:val="21"/>
          <w:highlight w:val="none"/>
        </w:rPr>
        <w:t>注：投标人不得调整</w:t>
      </w:r>
      <w:r>
        <w:rPr>
          <w:rFonts w:hint="eastAsia"/>
          <w:b/>
          <w:bCs/>
          <w:spacing w:val="-3"/>
          <w:sz w:val="21"/>
          <w:szCs w:val="21"/>
          <w:highlight w:val="none"/>
          <w:lang w:val="en-US" w:eastAsia="zh-CN"/>
        </w:rPr>
        <w:t>设备清单</w:t>
      </w:r>
      <w:r>
        <w:rPr>
          <w:b/>
          <w:bCs/>
          <w:spacing w:val="-3"/>
          <w:sz w:val="21"/>
          <w:szCs w:val="21"/>
          <w:highlight w:val="none"/>
        </w:rPr>
        <w:t>中设备</w:t>
      </w:r>
      <w:r>
        <w:rPr>
          <w:rFonts w:hint="eastAsia"/>
          <w:b/>
          <w:bCs/>
          <w:spacing w:val="-3"/>
          <w:sz w:val="21"/>
          <w:szCs w:val="21"/>
          <w:highlight w:val="none"/>
          <w:lang w:val="en-US" w:eastAsia="zh-CN"/>
        </w:rPr>
        <w:t>规格、</w:t>
      </w:r>
      <w:r>
        <w:rPr>
          <w:b/>
          <w:bCs/>
          <w:spacing w:val="-3"/>
          <w:sz w:val="21"/>
          <w:szCs w:val="21"/>
          <w:highlight w:val="none"/>
        </w:rPr>
        <w:t>数量，否则作废标处理。</w:t>
      </w:r>
    </w:p>
    <w:p w14:paraId="3F4A691F">
      <w:pPr>
        <w:spacing w:line="310" w:lineRule="auto"/>
        <w:rPr>
          <w:rFonts w:ascii="Arial"/>
          <w:sz w:val="21"/>
          <w:highlight w:val="none"/>
        </w:rPr>
      </w:pPr>
    </w:p>
    <w:p w14:paraId="344E4B88">
      <w:pPr>
        <w:pStyle w:val="11"/>
        <w:rPr>
          <w:rFonts w:hint="eastAsia" w:ascii="仿宋" w:hAnsi="仿宋" w:eastAsia="仿宋" w:cs="仿宋_GB2312"/>
          <w:b w:val="0"/>
          <w:bCs w:val="0"/>
          <w:sz w:val="28"/>
          <w:highlight w:val="none"/>
          <w:lang w:eastAsia="zh-CN"/>
        </w:rPr>
      </w:pPr>
    </w:p>
    <w:p w14:paraId="33FF85E3">
      <w:pPr>
        <w:pStyle w:val="11"/>
        <w:rPr>
          <w:rFonts w:hint="eastAsia" w:ascii="仿宋" w:hAnsi="仿宋" w:eastAsia="仿宋" w:cs="仿宋_GB2312"/>
          <w:b w:val="0"/>
          <w:bCs w:val="0"/>
          <w:sz w:val="28"/>
          <w:highlight w:val="none"/>
          <w:lang w:eastAsia="zh-CN"/>
        </w:rPr>
      </w:pPr>
    </w:p>
    <w:p w14:paraId="5B69BF33">
      <w:pPr>
        <w:pStyle w:val="11"/>
        <w:rPr>
          <w:rFonts w:hint="eastAsia" w:ascii="仿宋" w:hAnsi="仿宋" w:eastAsia="仿宋" w:cs="仿宋_GB2312"/>
          <w:b w:val="0"/>
          <w:bCs w:val="0"/>
          <w:sz w:val="28"/>
          <w:highlight w:val="none"/>
          <w:lang w:eastAsia="zh-CN"/>
        </w:rPr>
      </w:pPr>
    </w:p>
    <w:p w14:paraId="4531CB23">
      <w:pPr>
        <w:pStyle w:val="11"/>
        <w:rPr>
          <w:rFonts w:hint="eastAsia" w:ascii="仿宋" w:hAnsi="仿宋" w:eastAsia="仿宋" w:cs="仿宋_GB2312"/>
          <w:b w:val="0"/>
          <w:bCs w:val="0"/>
          <w:sz w:val="28"/>
          <w:highlight w:val="none"/>
          <w:lang w:eastAsia="zh-CN"/>
        </w:rPr>
      </w:pPr>
    </w:p>
    <w:p w14:paraId="3F83351E">
      <w:pPr>
        <w:pStyle w:val="11"/>
        <w:jc w:val="both"/>
        <w:rPr>
          <w:rFonts w:hint="eastAsia" w:ascii="仿宋" w:hAnsi="仿宋" w:eastAsia="仿宋" w:cs="仿宋_GB2312"/>
          <w:b w:val="0"/>
          <w:bCs w:val="0"/>
          <w:sz w:val="28"/>
          <w:highlight w:val="none"/>
          <w:lang w:eastAsia="zh-CN"/>
        </w:rPr>
        <w:sectPr>
          <w:pgSz w:w="11906" w:h="16838"/>
          <w:pgMar w:top="1440" w:right="1800" w:bottom="1440" w:left="1800" w:header="851" w:footer="992" w:gutter="0"/>
          <w:cols w:space="425" w:num="1"/>
          <w:docGrid w:type="lines" w:linePitch="312" w:charSpace="0"/>
        </w:sectPr>
      </w:pPr>
    </w:p>
    <w:p w14:paraId="551D1B07">
      <w:pPr>
        <w:widowControl w:val="0"/>
        <w:spacing w:line="240" w:lineRule="auto"/>
        <w:ind w:firstLine="480"/>
        <w:jc w:val="center"/>
        <w:outlineLvl w:val="1"/>
        <w:rPr>
          <w:rFonts w:hint="eastAsia" w:ascii="仿宋" w:hAnsi="仿宋" w:eastAsia="仿宋" w:cs="仿宋_GB2312"/>
          <w:b/>
          <w:bCs/>
          <w:sz w:val="28"/>
          <w:highlight w:val="none"/>
          <w:lang w:val="en-US" w:eastAsia="zh-CN"/>
        </w:rPr>
      </w:pPr>
    </w:p>
    <w:p w14:paraId="2BDAD92E">
      <w:pPr>
        <w:widowControl w:val="0"/>
        <w:spacing w:line="240" w:lineRule="auto"/>
        <w:ind w:firstLine="480"/>
        <w:jc w:val="center"/>
        <w:outlineLvl w:val="1"/>
        <w:rPr>
          <w:rFonts w:hint="eastAsia" w:ascii="仿宋" w:hAnsi="仿宋" w:eastAsia="仿宋" w:cs="仿宋_GB2312"/>
          <w:b/>
          <w:bCs/>
          <w:sz w:val="28"/>
          <w:highlight w:val="none"/>
          <w:lang w:val="en-US" w:eastAsia="zh-CN"/>
        </w:rPr>
      </w:pPr>
    </w:p>
    <w:p w14:paraId="1B5F7DAE">
      <w:pPr>
        <w:ind w:left="0" w:leftChars="0" w:firstLine="4216" w:firstLineChars="1500"/>
        <w:rPr>
          <w:rFonts w:ascii="仿宋" w:hAnsi="仿宋" w:eastAsia="仿宋"/>
          <w:b/>
          <w:color w:val="000000"/>
          <w:sz w:val="24"/>
          <w:highlight w:val="none"/>
        </w:rPr>
      </w:pPr>
      <w:r>
        <w:rPr>
          <w:rFonts w:hint="eastAsia" w:ascii="仿宋" w:hAnsi="仿宋" w:eastAsia="仿宋" w:cs="仿宋_GB2312"/>
          <w:b/>
          <w:bCs/>
          <w:sz w:val="28"/>
          <w:highlight w:val="none"/>
          <w:lang w:val="en-US" w:eastAsia="zh-CN"/>
        </w:rPr>
        <w:t>8.</w:t>
      </w:r>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ascii="仿宋" w:hAnsi="仿宋" w:eastAsia="仿宋" w:cs="仿宋_GB2312"/>
          <w:b/>
          <w:bCs/>
          <w:sz w:val="28"/>
          <w:highlight w:val="none"/>
        </w:rPr>
        <w:t>合作商基本情况表</w:t>
      </w:r>
    </w:p>
    <w:tbl>
      <w:tblPr>
        <w:tblStyle w:val="17"/>
        <w:tblpPr w:leftFromText="180" w:rightFromText="180" w:vertAnchor="text" w:horzAnchor="page" w:tblpX="1268" w:tblpY="798"/>
        <w:tblOverlap w:val="never"/>
        <w:tblW w:w="9735" w:type="dxa"/>
        <w:tblInd w:w="0" w:type="dxa"/>
        <w:tblLayout w:type="autofit"/>
        <w:tblCellMar>
          <w:top w:w="0" w:type="dxa"/>
          <w:left w:w="108" w:type="dxa"/>
          <w:bottom w:w="0" w:type="dxa"/>
          <w:right w:w="108" w:type="dxa"/>
        </w:tblCellMar>
      </w:tblPr>
      <w:tblGrid>
        <w:gridCol w:w="1680"/>
        <w:gridCol w:w="3075"/>
        <w:gridCol w:w="2085"/>
        <w:gridCol w:w="2895"/>
      </w:tblGrid>
      <w:tr w14:paraId="32E75C13">
        <w:tblPrEx>
          <w:tblCellMar>
            <w:top w:w="0" w:type="dxa"/>
            <w:left w:w="108" w:type="dxa"/>
            <w:bottom w:w="0" w:type="dxa"/>
            <w:right w:w="108" w:type="dxa"/>
          </w:tblCellMar>
        </w:tblPrEx>
        <w:trPr>
          <w:trHeight w:val="880" w:hRule="atLeast"/>
        </w:trPr>
        <w:tc>
          <w:tcPr>
            <w:tcW w:w="9735" w:type="dxa"/>
            <w:gridSpan w:val="4"/>
            <w:tcBorders>
              <w:top w:val="nil"/>
              <w:left w:val="nil"/>
              <w:bottom w:val="single" w:color="000000" w:sz="4" w:space="0"/>
              <w:right w:val="nil"/>
            </w:tcBorders>
            <w:shd w:val="clear" w:color="auto" w:fill="auto"/>
            <w:noWrap/>
            <w:vAlign w:val="center"/>
          </w:tcPr>
          <w:p w14:paraId="6CA3EB5F">
            <w:pPr>
              <w:widowControl/>
              <w:textAlignment w:val="center"/>
              <w:rPr>
                <w:rFonts w:ascii="仿宋" w:hAnsi="仿宋" w:eastAsia="仿宋" w:cs="仿宋"/>
                <w:b/>
                <w:bCs/>
                <w:color w:val="000000"/>
                <w:sz w:val="30"/>
                <w:szCs w:val="30"/>
                <w:highlight w:val="none"/>
              </w:rPr>
            </w:pPr>
          </w:p>
        </w:tc>
      </w:tr>
      <w:tr w14:paraId="2BAB9359">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7810">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供应商名称</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ABA9B5">
            <w:pPr>
              <w:widowControl/>
              <w:jc w:val="center"/>
              <w:textAlignment w:val="center"/>
              <w:rPr>
                <w:rFonts w:ascii="仿宋" w:hAnsi="仿宋" w:eastAsia="仿宋" w:cs="仿宋"/>
                <w:color w:val="000000"/>
                <w:sz w:val="24"/>
                <w:highlight w:val="none"/>
              </w:rPr>
            </w:pPr>
          </w:p>
        </w:tc>
      </w:tr>
      <w:tr w14:paraId="2CECEAA6">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3A8C">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法人代表</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F85D">
            <w:pPr>
              <w:widowControl/>
              <w:jc w:val="center"/>
              <w:textAlignment w:val="center"/>
              <w:rPr>
                <w:rFonts w:ascii="仿宋" w:hAnsi="仿宋" w:eastAsia="仿宋" w:cs="仿宋"/>
                <w:color w:val="000000"/>
                <w:sz w:val="24"/>
                <w:highlight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C56A">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注册资金（万元）</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411B">
            <w:pPr>
              <w:widowControl/>
              <w:jc w:val="center"/>
              <w:textAlignment w:val="center"/>
              <w:rPr>
                <w:rFonts w:ascii="仿宋" w:hAnsi="仿宋" w:eastAsia="仿宋" w:cs="仿宋"/>
                <w:color w:val="000000"/>
                <w:sz w:val="24"/>
                <w:highlight w:val="none"/>
              </w:rPr>
            </w:pPr>
          </w:p>
        </w:tc>
      </w:tr>
      <w:tr w14:paraId="3146C6D4">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8C30">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注册地址</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E457">
            <w:pPr>
              <w:widowControl/>
              <w:jc w:val="center"/>
              <w:textAlignment w:val="center"/>
              <w:rPr>
                <w:rFonts w:ascii="仿宋" w:hAnsi="仿宋" w:eastAsia="仿宋" w:cs="仿宋"/>
                <w:color w:val="000000"/>
                <w:sz w:val="24"/>
                <w:highlight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1990">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注册时间</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C868">
            <w:pPr>
              <w:widowControl/>
              <w:jc w:val="center"/>
              <w:textAlignment w:val="center"/>
              <w:rPr>
                <w:rFonts w:ascii="仿宋" w:hAnsi="仿宋" w:eastAsia="仿宋" w:cs="仿宋"/>
                <w:color w:val="000000"/>
                <w:sz w:val="24"/>
                <w:highlight w:val="none"/>
              </w:rPr>
            </w:pPr>
          </w:p>
        </w:tc>
      </w:tr>
      <w:tr w14:paraId="1BFD33DE">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A928">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联系人</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F790">
            <w:pPr>
              <w:widowControl/>
              <w:jc w:val="center"/>
              <w:textAlignment w:val="center"/>
              <w:rPr>
                <w:rFonts w:ascii="仿宋" w:hAnsi="仿宋" w:eastAsia="仿宋" w:cs="仿宋"/>
                <w:color w:val="000000"/>
                <w:sz w:val="24"/>
                <w:highlight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5D23">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联系电话</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ECB3">
            <w:pPr>
              <w:widowControl/>
              <w:jc w:val="center"/>
              <w:textAlignment w:val="center"/>
              <w:rPr>
                <w:rFonts w:ascii="仿宋" w:hAnsi="仿宋" w:eastAsia="仿宋" w:cs="仿宋"/>
                <w:color w:val="000000"/>
                <w:sz w:val="24"/>
                <w:highlight w:val="none"/>
              </w:rPr>
            </w:pPr>
          </w:p>
        </w:tc>
      </w:tr>
      <w:tr w14:paraId="15FDDA16">
        <w:tblPrEx>
          <w:tblCellMar>
            <w:top w:w="0" w:type="dxa"/>
            <w:left w:w="108" w:type="dxa"/>
            <w:bottom w:w="0" w:type="dxa"/>
            <w:right w:w="108" w:type="dxa"/>
          </w:tblCellMar>
        </w:tblPrEx>
        <w:trPr>
          <w:trHeight w:val="71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24B6">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主营业务</w:t>
            </w:r>
          </w:p>
        </w:tc>
        <w:tc>
          <w:tcPr>
            <w:tcW w:w="8055" w:type="dxa"/>
            <w:gridSpan w:val="3"/>
            <w:tcBorders>
              <w:top w:val="single" w:color="000000" w:sz="4" w:space="0"/>
              <w:left w:val="single" w:color="000000" w:sz="4" w:space="0"/>
              <w:bottom w:val="nil"/>
              <w:right w:val="single" w:color="000000" w:sz="4" w:space="0"/>
            </w:tcBorders>
            <w:shd w:val="clear" w:color="auto" w:fill="auto"/>
            <w:vAlign w:val="center"/>
          </w:tcPr>
          <w:p w14:paraId="6E90707B">
            <w:pPr>
              <w:widowControl/>
              <w:jc w:val="left"/>
              <w:textAlignment w:val="center"/>
              <w:rPr>
                <w:rFonts w:ascii="仿宋" w:hAnsi="仿宋" w:eastAsia="仿宋" w:cs="仿宋"/>
                <w:color w:val="000000"/>
                <w:sz w:val="24"/>
                <w:highlight w:val="none"/>
              </w:rPr>
            </w:pPr>
          </w:p>
        </w:tc>
      </w:tr>
      <w:tr w14:paraId="6D9ABB46">
        <w:tblPrEx>
          <w:tblCellMar>
            <w:top w:w="0" w:type="dxa"/>
            <w:left w:w="108" w:type="dxa"/>
            <w:bottom w:w="0" w:type="dxa"/>
            <w:right w:w="108" w:type="dxa"/>
          </w:tblCellMar>
        </w:tblPrEx>
        <w:trPr>
          <w:trHeight w:val="66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2E31">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收入（万元）</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0D1B32">
            <w:pPr>
              <w:widowControl/>
              <w:jc w:val="center"/>
              <w:textAlignment w:val="center"/>
              <w:rPr>
                <w:rFonts w:ascii="仿宋" w:hAnsi="仿宋" w:eastAsia="仿宋" w:cs="仿宋"/>
                <w:color w:val="000000"/>
                <w:sz w:val="24"/>
                <w:highlight w:val="none"/>
              </w:rPr>
            </w:pPr>
          </w:p>
        </w:tc>
      </w:tr>
      <w:tr w14:paraId="5DD8D35D">
        <w:tblPrEx>
          <w:tblCellMar>
            <w:top w:w="0" w:type="dxa"/>
            <w:left w:w="108" w:type="dxa"/>
            <w:bottom w:w="0" w:type="dxa"/>
            <w:right w:w="108" w:type="dxa"/>
          </w:tblCellMar>
        </w:tblPrEx>
        <w:trPr>
          <w:trHeight w:val="2673"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972E">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经营范围</w:t>
            </w:r>
          </w:p>
        </w:tc>
        <w:tc>
          <w:tcPr>
            <w:tcW w:w="8055" w:type="dxa"/>
            <w:gridSpan w:val="3"/>
            <w:tcBorders>
              <w:top w:val="single" w:color="000000" w:sz="4" w:space="0"/>
              <w:left w:val="single" w:color="000000" w:sz="4" w:space="0"/>
              <w:bottom w:val="nil"/>
              <w:right w:val="single" w:color="000000" w:sz="4" w:space="0"/>
            </w:tcBorders>
            <w:shd w:val="clear" w:color="auto" w:fill="auto"/>
            <w:vAlign w:val="center"/>
          </w:tcPr>
          <w:p w14:paraId="63876593">
            <w:pPr>
              <w:widowControl/>
              <w:jc w:val="left"/>
              <w:textAlignment w:val="center"/>
              <w:rPr>
                <w:rFonts w:ascii="仿宋" w:hAnsi="仿宋" w:eastAsia="仿宋" w:cs="仿宋"/>
                <w:color w:val="000000"/>
                <w:sz w:val="20"/>
                <w:szCs w:val="20"/>
                <w:highlight w:val="none"/>
              </w:rPr>
            </w:pPr>
          </w:p>
        </w:tc>
      </w:tr>
      <w:tr w14:paraId="5B9D5156">
        <w:tblPrEx>
          <w:tblCellMar>
            <w:top w:w="0" w:type="dxa"/>
            <w:left w:w="108" w:type="dxa"/>
            <w:bottom w:w="0" w:type="dxa"/>
            <w:right w:w="108" w:type="dxa"/>
          </w:tblCellMar>
        </w:tblPrEx>
        <w:trPr>
          <w:trHeight w:val="87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8F45">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主要业绩</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65305F">
            <w:pPr>
              <w:widowControl/>
              <w:jc w:val="left"/>
              <w:textAlignment w:val="center"/>
              <w:rPr>
                <w:rFonts w:ascii="仿宋" w:hAnsi="仿宋" w:eastAsia="仿宋" w:cs="仿宋"/>
                <w:color w:val="000000"/>
                <w:sz w:val="24"/>
                <w:highlight w:val="none"/>
              </w:rPr>
            </w:pPr>
          </w:p>
        </w:tc>
      </w:tr>
      <w:tr w14:paraId="549465B8">
        <w:tblPrEx>
          <w:tblCellMar>
            <w:top w:w="0" w:type="dxa"/>
            <w:left w:w="108" w:type="dxa"/>
            <w:bottom w:w="0" w:type="dxa"/>
            <w:right w:w="108" w:type="dxa"/>
          </w:tblCellMar>
        </w:tblPrEx>
        <w:trPr>
          <w:trHeight w:val="86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AB5B">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公司性质</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DB993D">
            <w:pPr>
              <w:widowControl/>
              <w:textAlignment w:val="center"/>
              <w:rPr>
                <w:rFonts w:ascii="仿宋" w:hAnsi="仿宋" w:eastAsia="仿宋" w:cs="仿宋"/>
                <w:color w:val="000000"/>
                <w:sz w:val="24"/>
                <w:highlight w:val="none"/>
              </w:rPr>
            </w:pPr>
          </w:p>
        </w:tc>
      </w:tr>
      <w:tr w14:paraId="079BC8AA">
        <w:tblPrEx>
          <w:tblCellMar>
            <w:top w:w="0" w:type="dxa"/>
            <w:left w:w="108" w:type="dxa"/>
            <w:bottom w:w="0" w:type="dxa"/>
            <w:right w:w="108" w:type="dxa"/>
          </w:tblCellMar>
        </w:tblPrEx>
        <w:trPr>
          <w:trHeight w:val="82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957C">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经营方式</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1C4C1">
            <w:pPr>
              <w:widowControl/>
              <w:textAlignment w:val="center"/>
              <w:rPr>
                <w:rFonts w:ascii="仿宋" w:hAnsi="仿宋" w:eastAsia="仿宋" w:cs="仿宋"/>
                <w:color w:val="000000"/>
                <w:sz w:val="24"/>
                <w:highlight w:val="none"/>
              </w:rPr>
            </w:pPr>
          </w:p>
        </w:tc>
      </w:tr>
      <w:tr w14:paraId="2F913816">
        <w:tblPrEx>
          <w:tblCellMar>
            <w:top w:w="0" w:type="dxa"/>
            <w:left w:w="108" w:type="dxa"/>
            <w:bottom w:w="0" w:type="dxa"/>
            <w:right w:w="108" w:type="dxa"/>
          </w:tblCellMar>
        </w:tblPrEx>
        <w:trPr>
          <w:trHeight w:val="123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AF8C">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资质</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FBA970">
            <w:pPr>
              <w:widowControl/>
              <w:textAlignment w:val="center"/>
              <w:rPr>
                <w:rFonts w:ascii="仿宋" w:hAnsi="仿宋" w:eastAsia="仿宋" w:cs="仿宋"/>
                <w:color w:val="000000"/>
                <w:sz w:val="24"/>
                <w:highlight w:val="none"/>
              </w:rPr>
            </w:pPr>
          </w:p>
        </w:tc>
      </w:tr>
    </w:tbl>
    <w:p w14:paraId="0F2D1F8D">
      <w:pPr>
        <w:ind w:left="0" w:leftChars="0" w:firstLine="0" w:firstLineChars="0"/>
        <w:rPr>
          <w:rFonts w:hint="eastAsia" w:ascii="仿宋" w:hAnsi="仿宋" w:eastAsia="仿宋" w:cs="仿宋"/>
          <w:sz w:val="28"/>
          <w:szCs w:val="28"/>
          <w:highlight w:val="none"/>
          <w:lang w:val="en-US" w:eastAsia="zh-CN"/>
        </w:rPr>
      </w:pPr>
    </w:p>
    <w:p w14:paraId="1086B89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28"/>
          <w:szCs w:val="28"/>
          <w:highlight w:val="none"/>
          <w:lang w:val="en-US" w:eastAsia="zh-CN"/>
        </w:rPr>
      </w:pPr>
    </w:p>
    <w:p w14:paraId="6859887B">
      <w:pPr>
        <w:spacing w:before="101" w:line="226" w:lineRule="auto"/>
        <w:ind w:left="4041" w:firstLine="970" w:firstLineChars="300"/>
        <w:outlineLvl w:val="1"/>
        <w:rPr>
          <w:rFonts w:ascii="黑体" w:hAnsi="黑体" w:eastAsia="黑体" w:cs="黑体"/>
          <w:b/>
          <w:bCs/>
          <w:spacing w:val="6"/>
          <w:sz w:val="31"/>
          <w:szCs w:val="31"/>
          <w:highlight w:val="none"/>
        </w:rPr>
      </w:pPr>
      <w:bookmarkStart w:id="105" w:name="_Toc2153"/>
    </w:p>
    <w:p w14:paraId="12B032A7">
      <w:pPr>
        <w:spacing w:before="101" w:line="226" w:lineRule="auto"/>
        <w:ind w:left="4041" w:firstLine="970" w:firstLineChars="300"/>
        <w:outlineLvl w:val="1"/>
        <w:rPr>
          <w:rFonts w:ascii="黑体" w:hAnsi="黑体" w:eastAsia="黑体" w:cs="黑体"/>
          <w:b/>
          <w:bCs/>
          <w:spacing w:val="6"/>
          <w:sz w:val="31"/>
          <w:szCs w:val="31"/>
          <w:highlight w:val="none"/>
        </w:rPr>
      </w:pPr>
    </w:p>
    <w:p w14:paraId="2399379A">
      <w:pPr>
        <w:spacing w:before="101" w:line="226" w:lineRule="auto"/>
        <w:ind w:left="4041" w:firstLine="6787" w:firstLineChars="2100"/>
        <w:outlineLvl w:val="1"/>
        <w:rPr>
          <w:rFonts w:ascii="黑体" w:hAnsi="黑体" w:eastAsia="黑体" w:cs="黑体"/>
          <w:b/>
          <w:bCs/>
          <w:spacing w:val="6"/>
          <w:sz w:val="31"/>
          <w:szCs w:val="31"/>
          <w:highlight w:val="none"/>
        </w:rPr>
      </w:pPr>
    </w:p>
    <w:p w14:paraId="2BD31BE1">
      <w:pPr>
        <w:spacing w:before="101" w:line="226" w:lineRule="auto"/>
        <w:ind w:left="4041" w:firstLine="6787" w:firstLineChars="2100"/>
        <w:outlineLvl w:val="1"/>
        <w:rPr>
          <w:rFonts w:ascii="黑体" w:hAnsi="黑体" w:eastAsia="黑体" w:cs="黑体"/>
          <w:b/>
          <w:bCs/>
          <w:spacing w:val="6"/>
          <w:sz w:val="31"/>
          <w:szCs w:val="31"/>
          <w:highlight w:val="none"/>
        </w:rPr>
      </w:pPr>
    </w:p>
    <w:p w14:paraId="14F991E2">
      <w:pPr>
        <w:spacing w:before="101" w:line="226" w:lineRule="auto"/>
        <w:ind w:left="4041" w:firstLine="6787" w:firstLineChars="2100"/>
        <w:outlineLvl w:val="1"/>
        <w:rPr>
          <w:rFonts w:ascii="黑体" w:hAnsi="黑体" w:eastAsia="黑体" w:cs="黑体"/>
          <w:b/>
          <w:bCs/>
          <w:spacing w:val="6"/>
          <w:sz w:val="31"/>
          <w:szCs w:val="31"/>
          <w:highlight w:val="none"/>
        </w:rPr>
      </w:pPr>
    </w:p>
    <w:p w14:paraId="35D7FD88">
      <w:pPr>
        <w:spacing w:before="101" w:line="226" w:lineRule="auto"/>
        <w:ind w:left="4041" w:firstLine="6787" w:firstLineChars="2100"/>
        <w:outlineLvl w:val="1"/>
        <w:rPr>
          <w:rFonts w:ascii="黑体" w:hAnsi="黑体" w:eastAsia="黑体" w:cs="黑体"/>
          <w:b/>
          <w:bCs/>
          <w:spacing w:val="6"/>
          <w:sz w:val="31"/>
          <w:szCs w:val="31"/>
          <w:highlight w:val="none"/>
        </w:rPr>
      </w:pPr>
    </w:p>
    <w:p w14:paraId="167B2032">
      <w:pPr>
        <w:spacing w:before="101" w:line="226" w:lineRule="auto"/>
        <w:ind w:left="4041" w:firstLine="6787" w:firstLineChars="2100"/>
        <w:outlineLvl w:val="1"/>
        <w:rPr>
          <w:rFonts w:ascii="黑体" w:hAnsi="黑体" w:eastAsia="黑体" w:cs="黑体"/>
          <w:b/>
          <w:bCs/>
          <w:spacing w:val="6"/>
          <w:sz w:val="31"/>
          <w:szCs w:val="31"/>
          <w:highlight w:val="none"/>
        </w:rPr>
      </w:pPr>
    </w:p>
    <w:p w14:paraId="483CC918">
      <w:pPr>
        <w:spacing w:before="101" w:line="226" w:lineRule="auto"/>
        <w:ind w:left="4041" w:firstLine="6787" w:firstLineChars="2100"/>
        <w:outlineLvl w:val="1"/>
        <w:rPr>
          <w:rFonts w:ascii="黑体" w:hAnsi="黑体" w:eastAsia="黑体" w:cs="黑体"/>
          <w:b/>
          <w:bCs/>
          <w:spacing w:val="6"/>
          <w:sz w:val="31"/>
          <w:szCs w:val="31"/>
          <w:highlight w:val="none"/>
        </w:rPr>
      </w:pPr>
    </w:p>
    <w:p w14:paraId="0D4BE4F3">
      <w:pPr>
        <w:spacing w:before="101" w:line="226" w:lineRule="auto"/>
        <w:ind w:left="4041" w:firstLine="6787" w:firstLineChars="2100"/>
        <w:outlineLvl w:val="1"/>
        <w:rPr>
          <w:rFonts w:ascii="黑体" w:hAnsi="黑体" w:eastAsia="黑体" w:cs="黑体"/>
          <w:b/>
          <w:bCs/>
          <w:spacing w:val="6"/>
          <w:sz w:val="31"/>
          <w:szCs w:val="31"/>
          <w:highlight w:val="none"/>
        </w:rPr>
      </w:pPr>
    </w:p>
    <w:p w14:paraId="5A93CCA9">
      <w:pPr>
        <w:spacing w:before="101" w:line="226" w:lineRule="auto"/>
        <w:ind w:left="4041" w:firstLine="6787" w:firstLineChars="2100"/>
        <w:outlineLvl w:val="1"/>
        <w:rPr>
          <w:rFonts w:ascii="黑体" w:hAnsi="黑体" w:eastAsia="黑体" w:cs="黑体"/>
          <w:b/>
          <w:bCs/>
          <w:spacing w:val="6"/>
          <w:sz w:val="31"/>
          <w:szCs w:val="31"/>
          <w:highlight w:val="none"/>
        </w:rPr>
      </w:pPr>
    </w:p>
    <w:p w14:paraId="7A9E6E2C">
      <w:pPr>
        <w:spacing w:before="101" w:line="226" w:lineRule="auto"/>
        <w:ind w:left="4041" w:firstLine="6787" w:firstLineChars="2100"/>
        <w:outlineLvl w:val="1"/>
        <w:rPr>
          <w:rFonts w:ascii="黑体" w:hAnsi="黑体" w:eastAsia="黑体" w:cs="黑体"/>
          <w:b/>
          <w:bCs/>
          <w:spacing w:val="6"/>
          <w:sz w:val="31"/>
          <w:szCs w:val="31"/>
          <w:highlight w:val="none"/>
        </w:rPr>
      </w:pPr>
    </w:p>
    <w:p w14:paraId="57223F6D">
      <w:pPr>
        <w:spacing w:before="101" w:line="226" w:lineRule="auto"/>
        <w:ind w:left="4041" w:firstLine="6787" w:firstLineChars="2100"/>
        <w:outlineLvl w:val="1"/>
        <w:rPr>
          <w:rFonts w:ascii="黑体" w:hAnsi="黑体" w:eastAsia="黑体" w:cs="黑体"/>
          <w:b/>
          <w:bCs/>
          <w:spacing w:val="6"/>
          <w:sz w:val="31"/>
          <w:szCs w:val="31"/>
          <w:highlight w:val="none"/>
        </w:rPr>
      </w:pPr>
    </w:p>
    <w:p w14:paraId="13F9E6BE">
      <w:pPr>
        <w:spacing w:before="101" w:line="226" w:lineRule="auto"/>
        <w:ind w:left="4041" w:firstLine="6787" w:firstLineChars="2100"/>
        <w:outlineLvl w:val="1"/>
        <w:rPr>
          <w:rFonts w:ascii="黑体" w:hAnsi="黑体" w:eastAsia="黑体" w:cs="黑体"/>
          <w:b/>
          <w:bCs/>
          <w:spacing w:val="6"/>
          <w:sz w:val="31"/>
          <w:szCs w:val="31"/>
          <w:highlight w:val="none"/>
        </w:rPr>
      </w:pPr>
    </w:p>
    <w:p w14:paraId="6694C6D4">
      <w:pPr>
        <w:keepNext w:val="0"/>
        <w:keepLines w:val="0"/>
        <w:pageBreakBefore w:val="0"/>
        <w:widowControl/>
        <w:kinsoku w:val="0"/>
        <w:wordWrap/>
        <w:overflowPunct/>
        <w:topLinePunct w:val="0"/>
        <w:autoSpaceDE w:val="0"/>
        <w:autoSpaceDN w:val="0"/>
        <w:bidi w:val="0"/>
        <w:adjustRightInd w:val="0"/>
        <w:snapToGrid w:val="0"/>
        <w:spacing w:before="101" w:line="226" w:lineRule="auto"/>
        <w:ind w:left="4042" w:firstLine="6787" w:firstLineChars="2100"/>
        <w:textAlignment w:val="baseline"/>
        <w:outlineLvl w:val="1"/>
        <w:rPr>
          <w:rFonts w:ascii="黑体" w:hAnsi="黑体" w:eastAsia="黑体" w:cs="黑体"/>
          <w:b/>
          <w:bCs/>
          <w:spacing w:val="6"/>
          <w:sz w:val="31"/>
          <w:szCs w:val="31"/>
          <w:highlight w:val="none"/>
        </w:rPr>
      </w:pPr>
    </w:p>
    <w:p w14:paraId="314483DF">
      <w:pPr>
        <w:keepNext w:val="0"/>
        <w:keepLines w:val="0"/>
        <w:pageBreakBefore w:val="0"/>
        <w:widowControl/>
        <w:kinsoku w:val="0"/>
        <w:wordWrap/>
        <w:overflowPunct/>
        <w:topLinePunct w:val="0"/>
        <w:autoSpaceDE w:val="0"/>
        <w:autoSpaceDN w:val="0"/>
        <w:bidi w:val="0"/>
        <w:adjustRightInd w:val="0"/>
        <w:snapToGrid w:val="0"/>
        <w:spacing w:before="101" w:line="226" w:lineRule="auto"/>
        <w:ind w:left="4042" w:firstLine="6787" w:firstLineChars="2100"/>
        <w:textAlignment w:val="baseline"/>
        <w:outlineLvl w:val="1"/>
        <w:rPr>
          <w:rFonts w:ascii="黑体" w:hAnsi="黑体" w:eastAsia="黑体" w:cs="黑体"/>
          <w:b/>
          <w:bCs/>
          <w:spacing w:val="6"/>
          <w:sz w:val="31"/>
          <w:szCs w:val="31"/>
          <w:highlight w:val="none"/>
        </w:rPr>
      </w:pPr>
    </w:p>
    <w:p w14:paraId="7FDB1756">
      <w:pPr>
        <w:keepNext w:val="0"/>
        <w:keepLines w:val="0"/>
        <w:pageBreakBefore w:val="0"/>
        <w:widowControl/>
        <w:kinsoku w:val="0"/>
        <w:wordWrap/>
        <w:overflowPunct/>
        <w:topLinePunct w:val="0"/>
        <w:autoSpaceDE w:val="0"/>
        <w:autoSpaceDN w:val="0"/>
        <w:bidi w:val="0"/>
        <w:adjustRightInd w:val="0"/>
        <w:snapToGrid w:val="0"/>
        <w:spacing w:before="101" w:line="226" w:lineRule="auto"/>
        <w:ind w:left="4042" w:firstLine="6787" w:firstLineChars="2100"/>
        <w:textAlignment w:val="baseline"/>
        <w:outlineLvl w:val="1"/>
        <w:rPr>
          <w:rFonts w:ascii="黑体" w:hAnsi="黑体" w:eastAsia="黑体" w:cs="黑体"/>
          <w:b/>
          <w:bCs/>
          <w:spacing w:val="6"/>
          <w:sz w:val="31"/>
          <w:szCs w:val="31"/>
          <w:highlight w:val="none"/>
        </w:rPr>
      </w:pPr>
    </w:p>
    <w:p w14:paraId="2EC5398A">
      <w:pPr>
        <w:keepNext w:val="0"/>
        <w:keepLines w:val="0"/>
        <w:pageBreakBefore w:val="0"/>
        <w:widowControl/>
        <w:kinsoku w:val="0"/>
        <w:wordWrap/>
        <w:overflowPunct/>
        <w:topLinePunct w:val="0"/>
        <w:autoSpaceDE w:val="0"/>
        <w:autoSpaceDN w:val="0"/>
        <w:bidi w:val="0"/>
        <w:adjustRightInd w:val="0"/>
        <w:snapToGrid w:val="0"/>
        <w:spacing w:before="101" w:line="226" w:lineRule="auto"/>
        <w:ind w:left="4042" w:firstLine="6787" w:firstLineChars="2100"/>
        <w:textAlignment w:val="baseline"/>
        <w:outlineLvl w:val="1"/>
        <w:rPr>
          <w:rFonts w:ascii="黑体" w:hAnsi="黑体" w:eastAsia="黑体" w:cs="黑体"/>
          <w:b/>
          <w:bCs/>
          <w:spacing w:val="6"/>
          <w:sz w:val="31"/>
          <w:szCs w:val="31"/>
          <w:highlight w:val="none"/>
        </w:rPr>
      </w:pPr>
    </w:p>
    <w:p w14:paraId="4F3A6F13">
      <w:pPr>
        <w:keepNext w:val="0"/>
        <w:keepLines w:val="0"/>
        <w:pageBreakBefore w:val="0"/>
        <w:widowControl/>
        <w:kinsoku w:val="0"/>
        <w:wordWrap/>
        <w:overflowPunct/>
        <w:topLinePunct w:val="0"/>
        <w:autoSpaceDE w:val="0"/>
        <w:autoSpaceDN w:val="0"/>
        <w:bidi w:val="0"/>
        <w:adjustRightInd w:val="0"/>
        <w:snapToGrid w:val="0"/>
        <w:spacing w:before="101" w:line="226" w:lineRule="auto"/>
        <w:ind w:left="4042" w:firstLine="6787" w:firstLineChars="2100"/>
        <w:textAlignment w:val="baseline"/>
        <w:outlineLvl w:val="1"/>
        <w:rPr>
          <w:rFonts w:ascii="黑体" w:hAnsi="黑体" w:eastAsia="黑体" w:cs="黑体"/>
          <w:b/>
          <w:bCs/>
          <w:spacing w:val="6"/>
          <w:sz w:val="31"/>
          <w:szCs w:val="31"/>
          <w:highlight w:val="none"/>
        </w:rPr>
      </w:pPr>
    </w:p>
    <w:bookmarkEnd w:id="105"/>
    <w:p w14:paraId="7E0CEFA7">
      <w:pPr>
        <w:spacing w:line="244" w:lineRule="auto"/>
        <w:rPr>
          <w:rFonts w:ascii="Arial"/>
          <w:sz w:val="21"/>
          <w:highlight w:val="none"/>
        </w:rPr>
      </w:pPr>
    </w:p>
    <w:p w14:paraId="0BD5AFB1">
      <w:pPr>
        <w:spacing w:line="245" w:lineRule="auto"/>
        <w:rPr>
          <w:rFonts w:ascii="Arial"/>
          <w:sz w:val="21"/>
          <w:highlight w:val="none"/>
        </w:rPr>
      </w:pPr>
    </w:p>
    <w:p w14:paraId="751DA456">
      <w:pPr>
        <w:spacing w:line="245" w:lineRule="auto"/>
        <w:rPr>
          <w:rFonts w:ascii="Arial"/>
          <w:sz w:val="21"/>
          <w:highlight w:val="none"/>
        </w:rPr>
      </w:pPr>
    </w:p>
    <w:p w14:paraId="63E0F938">
      <w:pPr>
        <w:spacing w:line="245" w:lineRule="auto"/>
        <w:rPr>
          <w:rFonts w:ascii="Arial"/>
          <w:sz w:val="21"/>
          <w:highlight w:val="none"/>
        </w:rPr>
      </w:pPr>
    </w:p>
    <w:p w14:paraId="6717E243">
      <w:pPr>
        <w:spacing w:before="91" w:line="223" w:lineRule="auto"/>
        <w:ind w:left="5151"/>
        <w:rPr>
          <w:rFonts w:ascii="黑体" w:hAnsi="黑体" w:eastAsia="黑体" w:cs="黑体"/>
          <w:spacing w:val="-9"/>
          <w:sz w:val="28"/>
          <w:szCs w:val="28"/>
          <w:highlight w:val="none"/>
        </w:rPr>
      </w:pPr>
    </w:p>
    <w:p w14:paraId="639B3FAD">
      <w:pPr>
        <w:spacing w:before="91" w:line="223" w:lineRule="auto"/>
        <w:ind w:left="5151"/>
        <w:rPr>
          <w:rFonts w:ascii="黑体" w:hAnsi="黑体" w:eastAsia="黑体" w:cs="黑体"/>
          <w:spacing w:val="-9"/>
          <w:sz w:val="28"/>
          <w:szCs w:val="28"/>
          <w:highlight w:val="none"/>
        </w:rPr>
      </w:pPr>
    </w:p>
    <w:p w14:paraId="615316AA">
      <w:pPr>
        <w:spacing w:before="91" w:line="223" w:lineRule="auto"/>
        <w:ind w:left="5151"/>
        <w:rPr>
          <w:rFonts w:ascii="黑体" w:hAnsi="黑体" w:eastAsia="黑体" w:cs="黑体"/>
          <w:spacing w:val="-9"/>
          <w:sz w:val="28"/>
          <w:szCs w:val="28"/>
          <w:highlight w:val="none"/>
        </w:rPr>
      </w:pPr>
    </w:p>
    <w:p w14:paraId="36B4452E">
      <w:pPr>
        <w:spacing w:before="91" w:line="223" w:lineRule="auto"/>
        <w:ind w:left="5151"/>
        <w:rPr>
          <w:rFonts w:ascii="黑体" w:hAnsi="黑体" w:eastAsia="黑体" w:cs="黑体"/>
          <w:spacing w:val="-9"/>
          <w:sz w:val="28"/>
          <w:szCs w:val="28"/>
          <w:highlight w:val="none"/>
        </w:rPr>
      </w:pPr>
    </w:p>
    <w:p w14:paraId="779AFE27">
      <w:pPr>
        <w:spacing w:before="91" w:line="223" w:lineRule="auto"/>
        <w:ind w:left="5151"/>
        <w:rPr>
          <w:rFonts w:ascii="黑体" w:hAnsi="黑体" w:eastAsia="黑体" w:cs="黑体"/>
          <w:spacing w:val="-9"/>
          <w:sz w:val="28"/>
          <w:szCs w:val="28"/>
          <w:highlight w:val="none"/>
        </w:rPr>
      </w:pPr>
    </w:p>
    <w:p w14:paraId="158E5863">
      <w:pPr>
        <w:spacing w:before="91" w:line="223" w:lineRule="auto"/>
        <w:ind w:left="5151"/>
        <w:rPr>
          <w:rFonts w:ascii="黑体" w:hAnsi="黑体" w:eastAsia="黑体" w:cs="黑体"/>
          <w:spacing w:val="-9"/>
          <w:sz w:val="28"/>
          <w:szCs w:val="28"/>
          <w:highlight w:val="none"/>
        </w:rPr>
      </w:pPr>
    </w:p>
    <w:p w14:paraId="4AE1A0B9">
      <w:pPr>
        <w:spacing w:before="91" w:line="223" w:lineRule="auto"/>
        <w:ind w:left="5151"/>
        <w:rPr>
          <w:rFonts w:ascii="黑体" w:hAnsi="黑体" w:eastAsia="黑体" w:cs="黑体"/>
          <w:spacing w:val="-9"/>
          <w:sz w:val="28"/>
          <w:szCs w:val="28"/>
          <w:highlight w:val="none"/>
        </w:rPr>
      </w:pPr>
    </w:p>
    <w:p w14:paraId="36D9B5D0">
      <w:pPr>
        <w:spacing w:before="91" w:line="223" w:lineRule="auto"/>
        <w:ind w:left="5151"/>
        <w:rPr>
          <w:rFonts w:ascii="黑体" w:hAnsi="黑体" w:eastAsia="黑体" w:cs="黑体"/>
          <w:spacing w:val="-9"/>
          <w:sz w:val="28"/>
          <w:szCs w:val="28"/>
          <w:highlight w:val="none"/>
        </w:rPr>
      </w:pPr>
    </w:p>
    <w:p w14:paraId="4463DA00">
      <w:pPr>
        <w:spacing w:before="91" w:line="223" w:lineRule="auto"/>
        <w:ind w:left="5151"/>
        <w:rPr>
          <w:rFonts w:ascii="黑体" w:hAnsi="黑体" w:eastAsia="黑体" w:cs="黑体"/>
          <w:spacing w:val="-9"/>
          <w:sz w:val="28"/>
          <w:szCs w:val="28"/>
          <w:highlight w:val="none"/>
        </w:rPr>
      </w:pPr>
    </w:p>
    <w:p w14:paraId="763EBBA2">
      <w:pPr>
        <w:spacing w:before="91" w:line="223" w:lineRule="auto"/>
        <w:ind w:left="5151"/>
        <w:rPr>
          <w:rFonts w:ascii="黑体" w:hAnsi="黑体" w:eastAsia="黑体" w:cs="黑体"/>
          <w:spacing w:val="-9"/>
          <w:sz w:val="28"/>
          <w:szCs w:val="28"/>
          <w:highlight w:val="none"/>
        </w:rPr>
      </w:pPr>
    </w:p>
    <w:p w14:paraId="6710BEFE">
      <w:pPr>
        <w:spacing w:before="91" w:line="223" w:lineRule="auto"/>
        <w:ind w:left="5151"/>
        <w:rPr>
          <w:rFonts w:ascii="黑体" w:hAnsi="黑体" w:eastAsia="黑体" w:cs="黑体"/>
          <w:spacing w:val="-9"/>
          <w:sz w:val="28"/>
          <w:szCs w:val="28"/>
          <w:highlight w:val="none"/>
        </w:rPr>
      </w:pPr>
    </w:p>
    <w:p w14:paraId="2B2E6F17">
      <w:pPr>
        <w:spacing w:before="27" w:line="221" w:lineRule="auto"/>
        <w:ind w:left="2197"/>
        <w:rPr>
          <w:rFonts w:ascii="黑体" w:hAnsi="黑体" w:eastAsia="黑体" w:cs="黑体"/>
          <w:sz w:val="28"/>
          <w:szCs w:val="28"/>
          <w:highlight w:val="none"/>
        </w:rPr>
      </w:pPr>
      <w:r>
        <w:rPr>
          <w:rFonts w:hint="eastAsia" w:ascii="黑体" w:hAnsi="黑体" w:eastAsia="黑体" w:cs="黑体"/>
          <w:b/>
          <w:bCs/>
          <w:spacing w:val="6"/>
          <w:sz w:val="31"/>
          <w:szCs w:val="31"/>
          <w:highlight w:val="none"/>
          <w:lang w:val="en-US" w:eastAsia="zh-CN"/>
        </w:rPr>
        <w:t>9.</w:t>
      </w:r>
      <w:r>
        <w:rPr>
          <w:rFonts w:ascii="黑体" w:hAnsi="黑体" w:eastAsia="黑体" w:cs="黑体"/>
          <w:spacing w:val="-10"/>
          <w:sz w:val="28"/>
          <w:szCs w:val="28"/>
          <w:highlight w:val="none"/>
        </w:rPr>
        <w:t>近三年内在经营活动中无重大违法记录和行贿犯罪记录的</w:t>
      </w:r>
      <w:r>
        <w:rPr>
          <w:rFonts w:ascii="黑体" w:hAnsi="黑体" w:eastAsia="黑体" w:cs="黑体"/>
          <w:spacing w:val="-11"/>
          <w:sz w:val="28"/>
          <w:szCs w:val="28"/>
          <w:highlight w:val="none"/>
        </w:rPr>
        <w:t>声明</w:t>
      </w:r>
    </w:p>
    <w:p w14:paraId="3CCE1784">
      <w:pPr>
        <w:spacing w:line="337" w:lineRule="auto"/>
        <w:rPr>
          <w:rFonts w:ascii="Arial"/>
          <w:sz w:val="21"/>
          <w:highlight w:val="none"/>
        </w:rPr>
      </w:pPr>
    </w:p>
    <w:p w14:paraId="6A376BEF">
      <w:pPr>
        <w:spacing w:line="337" w:lineRule="auto"/>
        <w:rPr>
          <w:rFonts w:ascii="Arial"/>
          <w:sz w:val="21"/>
          <w:highlight w:val="none"/>
        </w:rPr>
      </w:pPr>
    </w:p>
    <w:p w14:paraId="391B2586">
      <w:pPr>
        <w:pStyle w:val="8"/>
        <w:spacing w:before="68" w:line="218" w:lineRule="auto"/>
        <w:ind w:left="2231"/>
        <w:rPr>
          <w:sz w:val="21"/>
          <w:szCs w:val="21"/>
          <w:highlight w:val="none"/>
        </w:rPr>
      </w:pPr>
      <w:r>
        <w:rPr>
          <w:spacing w:val="-1"/>
          <w:sz w:val="21"/>
          <w:szCs w:val="21"/>
          <w:highlight w:val="none"/>
        </w:rPr>
        <w:t>一、我方在参加（项目名称）投标活动前三年内,在</w:t>
      </w:r>
      <w:r>
        <w:rPr>
          <w:spacing w:val="-2"/>
          <w:sz w:val="21"/>
          <w:szCs w:val="21"/>
          <w:highlight w:val="none"/>
        </w:rPr>
        <w:t>经营活动中：</w:t>
      </w:r>
    </w:p>
    <w:p w14:paraId="7E323E77">
      <w:pPr>
        <w:pStyle w:val="8"/>
        <w:spacing w:before="159" w:line="290" w:lineRule="auto"/>
        <w:ind w:left="1809" w:right="1813" w:firstLine="434"/>
        <w:rPr>
          <w:sz w:val="21"/>
          <w:szCs w:val="21"/>
          <w:highlight w:val="none"/>
        </w:rPr>
      </w:pPr>
      <w:r>
        <w:rPr>
          <w:spacing w:val="-1"/>
          <w:sz w:val="21"/>
          <w:szCs w:val="21"/>
          <w:highlight w:val="none"/>
        </w:rPr>
        <w:t>1、没有重大违法记录（重大违法记录指投标人因违法经营受到刑事处罚或者责令停产</w:t>
      </w:r>
      <w:r>
        <w:rPr>
          <w:spacing w:val="4"/>
          <w:sz w:val="21"/>
          <w:szCs w:val="21"/>
          <w:highlight w:val="none"/>
        </w:rPr>
        <w:t xml:space="preserve"> </w:t>
      </w:r>
      <w:r>
        <w:rPr>
          <w:sz w:val="21"/>
          <w:szCs w:val="21"/>
          <w:highlight w:val="none"/>
        </w:rPr>
        <w:t>停业、吊销许可证或者执照、较大数额罚款等</w:t>
      </w:r>
      <w:r>
        <w:rPr>
          <w:spacing w:val="-1"/>
          <w:sz w:val="21"/>
          <w:szCs w:val="21"/>
          <w:highlight w:val="none"/>
        </w:rPr>
        <w:t>行政处罚）。</w:t>
      </w:r>
    </w:p>
    <w:p w14:paraId="6BDD86CF">
      <w:pPr>
        <w:pStyle w:val="8"/>
        <w:spacing w:before="156" w:line="288" w:lineRule="auto"/>
        <w:ind w:left="2018" w:right="1984" w:firstLine="212"/>
        <w:rPr>
          <w:sz w:val="21"/>
          <w:szCs w:val="21"/>
          <w:highlight w:val="none"/>
        </w:rPr>
      </w:pPr>
      <w:r>
        <w:rPr>
          <w:sz w:val="21"/>
          <w:szCs w:val="21"/>
          <w:highlight w:val="none"/>
        </w:rPr>
        <w:t>2、没有行贿犯罪记录（查询内容：①投标人</w:t>
      </w:r>
      <w:r>
        <w:rPr>
          <w:sz w:val="21"/>
          <w:szCs w:val="21"/>
          <w:highlight w:val="none"/>
          <w:u w:val="single" w:color="auto"/>
        </w:rPr>
        <w:t xml:space="preserve">    </w:t>
      </w:r>
      <w:r>
        <w:rPr>
          <w:spacing w:val="-82"/>
          <w:sz w:val="21"/>
          <w:szCs w:val="21"/>
          <w:highlight w:val="none"/>
        </w:rPr>
        <w:t xml:space="preserve"> </w:t>
      </w:r>
      <w:r>
        <w:rPr>
          <w:sz w:val="21"/>
          <w:szCs w:val="21"/>
          <w:highlight w:val="none"/>
        </w:rPr>
        <w:t>、组织机构代码证或</w:t>
      </w:r>
      <w:r>
        <w:rPr>
          <w:spacing w:val="-1"/>
          <w:sz w:val="21"/>
          <w:szCs w:val="21"/>
          <w:highlight w:val="none"/>
        </w:rPr>
        <w:t>统一社会信用</w:t>
      </w:r>
      <w:r>
        <w:rPr>
          <w:sz w:val="21"/>
          <w:szCs w:val="21"/>
          <w:highlight w:val="none"/>
        </w:rPr>
        <w:t xml:space="preserve"> </w:t>
      </w:r>
      <w:r>
        <w:rPr>
          <w:spacing w:val="-1"/>
          <w:sz w:val="21"/>
          <w:szCs w:val="21"/>
          <w:highlight w:val="none"/>
        </w:rPr>
        <w:t>代码__</w:t>
      </w:r>
      <w:r>
        <w:rPr>
          <w:spacing w:val="107"/>
          <w:sz w:val="21"/>
          <w:szCs w:val="21"/>
          <w:highlight w:val="none"/>
        </w:rPr>
        <w:t xml:space="preserve"> </w:t>
      </w:r>
      <w:r>
        <w:rPr>
          <w:spacing w:val="-1"/>
          <w:sz w:val="21"/>
          <w:szCs w:val="21"/>
          <w:highlight w:val="none"/>
        </w:rPr>
        <w:t>；②法定代表人</w:t>
      </w:r>
      <w:r>
        <w:rPr>
          <w:spacing w:val="20"/>
          <w:sz w:val="21"/>
          <w:szCs w:val="21"/>
          <w:highlight w:val="none"/>
          <w:u w:val="single" w:color="auto"/>
        </w:rPr>
        <w:t xml:space="preserve">     </w:t>
      </w:r>
      <w:r>
        <w:rPr>
          <w:spacing w:val="-1"/>
          <w:sz w:val="21"/>
          <w:szCs w:val="21"/>
          <w:highlight w:val="none"/>
        </w:rPr>
        <w:t>、身份证号码</w:t>
      </w:r>
      <w:r>
        <w:rPr>
          <w:spacing w:val="-104"/>
          <w:sz w:val="21"/>
          <w:szCs w:val="21"/>
          <w:highlight w:val="none"/>
        </w:rPr>
        <w:t xml:space="preserve"> </w:t>
      </w:r>
      <w:r>
        <w:rPr>
          <w:spacing w:val="20"/>
          <w:sz w:val="21"/>
          <w:szCs w:val="21"/>
          <w:highlight w:val="none"/>
          <w:u w:val="single" w:color="auto"/>
        </w:rPr>
        <w:t xml:space="preserve">     </w:t>
      </w:r>
      <w:r>
        <w:rPr>
          <w:spacing w:val="-1"/>
          <w:sz w:val="21"/>
          <w:szCs w:val="21"/>
          <w:highlight w:val="none"/>
        </w:rPr>
        <w:t>）。</w:t>
      </w:r>
    </w:p>
    <w:p w14:paraId="5CC5200D">
      <w:pPr>
        <w:pStyle w:val="8"/>
        <w:spacing w:before="164" w:line="360" w:lineRule="auto"/>
        <w:ind w:left="1807" w:right="2112" w:firstLine="424"/>
        <w:rPr>
          <w:sz w:val="21"/>
          <w:szCs w:val="21"/>
          <w:highlight w:val="none"/>
        </w:rPr>
      </w:pPr>
      <w:r>
        <w:rPr>
          <w:sz w:val="21"/>
          <w:szCs w:val="21"/>
          <w:highlight w:val="none"/>
        </w:rPr>
        <w:t>二、我方在参加本项目活动前一段时间内具有良好的商业信誉和健全</w:t>
      </w:r>
      <w:r>
        <w:rPr>
          <w:spacing w:val="-1"/>
          <w:sz w:val="21"/>
          <w:szCs w:val="21"/>
          <w:highlight w:val="none"/>
        </w:rPr>
        <w:t>的财务会计制</w:t>
      </w:r>
      <w:r>
        <w:rPr>
          <w:sz w:val="21"/>
          <w:szCs w:val="21"/>
          <w:highlight w:val="none"/>
        </w:rPr>
        <w:t xml:space="preserve"> 度、具有依法缴纳税收和社会保障资金的良</w:t>
      </w:r>
      <w:r>
        <w:rPr>
          <w:spacing w:val="-1"/>
          <w:sz w:val="21"/>
          <w:szCs w:val="21"/>
          <w:highlight w:val="none"/>
        </w:rPr>
        <w:t>好记录。</w:t>
      </w:r>
    </w:p>
    <w:p w14:paraId="5044B636">
      <w:pPr>
        <w:spacing w:line="336" w:lineRule="auto"/>
        <w:rPr>
          <w:rFonts w:ascii="Arial"/>
          <w:sz w:val="21"/>
          <w:highlight w:val="none"/>
        </w:rPr>
      </w:pPr>
    </w:p>
    <w:p w14:paraId="50755C30">
      <w:pPr>
        <w:pStyle w:val="8"/>
        <w:spacing w:before="69" w:line="221" w:lineRule="auto"/>
        <w:ind w:left="2229"/>
        <w:rPr>
          <w:sz w:val="21"/>
          <w:szCs w:val="21"/>
          <w:highlight w:val="none"/>
        </w:rPr>
      </w:pPr>
      <w:r>
        <w:rPr>
          <w:spacing w:val="-1"/>
          <w:sz w:val="21"/>
          <w:szCs w:val="21"/>
          <w:highlight w:val="none"/>
        </w:rPr>
        <w:t>若以上声明不实，我方自愿承担一切法律后果。</w:t>
      </w:r>
    </w:p>
    <w:p w14:paraId="748C1831">
      <w:pPr>
        <w:spacing w:line="299" w:lineRule="auto"/>
        <w:rPr>
          <w:rFonts w:ascii="Arial"/>
          <w:sz w:val="21"/>
          <w:highlight w:val="none"/>
        </w:rPr>
      </w:pPr>
    </w:p>
    <w:p w14:paraId="50E90975">
      <w:pPr>
        <w:spacing w:line="299" w:lineRule="auto"/>
        <w:rPr>
          <w:rFonts w:ascii="Arial"/>
          <w:sz w:val="21"/>
          <w:highlight w:val="none"/>
        </w:rPr>
      </w:pPr>
    </w:p>
    <w:p w14:paraId="4D425976">
      <w:pPr>
        <w:spacing w:line="300" w:lineRule="auto"/>
        <w:rPr>
          <w:rFonts w:ascii="Arial"/>
          <w:sz w:val="21"/>
          <w:highlight w:val="none"/>
        </w:rPr>
      </w:pPr>
    </w:p>
    <w:p w14:paraId="487790C3">
      <w:pPr>
        <w:pStyle w:val="8"/>
        <w:spacing w:before="69" w:line="222" w:lineRule="auto"/>
        <w:jc w:val="center"/>
        <w:rPr>
          <w:sz w:val="21"/>
          <w:szCs w:val="21"/>
          <w:highlight w:val="none"/>
        </w:rPr>
      </w:pPr>
      <w:r>
        <w:rPr>
          <w:spacing w:val="-6"/>
          <w:sz w:val="21"/>
          <w:szCs w:val="21"/>
          <w:highlight w:val="none"/>
        </w:rPr>
        <w:t xml:space="preserve">投标人名称： </w:t>
      </w:r>
      <w:r>
        <w:rPr>
          <w:spacing w:val="-6"/>
          <w:sz w:val="21"/>
          <w:szCs w:val="21"/>
          <w:highlight w:val="none"/>
          <w:u w:val="single" w:color="auto"/>
        </w:rPr>
        <w:t xml:space="preserve">                         </w:t>
      </w:r>
      <w:r>
        <w:rPr>
          <w:spacing w:val="-7"/>
          <w:sz w:val="21"/>
          <w:szCs w:val="21"/>
          <w:highlight w:val="none"/>
          <w:u w:val="single" w:color="auto"/>
        </w:rPr>
        <w:t xml:space="preserve">           </w:t>
      </w:r>
      <w:r>
        <w:rPr>
          <w:spacing w:val="-61"/>
          <w:sz w:val="21"/>
          <w:szCs w:val="21"/>
          <w:highlight w:val="none"/>
        </w:rPr>
        <w:t xml:space="preserve"> </w:t>
      </w:r>
      <w:r>
        <w:rPr>
          <w:spacing w:val="-7"/>
          <w:sz w:val="21"/>
          <w:szCs w:val="21"/>
          <w:highlight w:val="none"/>
        </w:rPr>
        <w:t>(盖单位</w:t>
      </w:r>
      <w:r>
        <w:rPr>
          <w:spacing w:val="-8"/>
          <w:sz w:val="21"/>
          <w:szCs w:val="21"/>
          <w:highlight w:val="none"/>
        </w:rPr>
        <w:t>章)</w:t>
      </w:r>
    </w:p>
    <w:p w14:paraId="23E436C3">
      <w:pPr>
        <w:pStyle w:val="8"/>
        <w:spacing w:before="160" w:line="221" w:lineRule="auto"/>
        <w:jc w:val="center"/>
        <w:rPr>
          <w:sz w:val="21"/>
          <w:szCs w:val="21"/>
          <w:highlight w:val="none"/>
        </w:rPr>
      </w:pPr>
      <w:r>
        <w:rPr>
          <w:spacing w:val="-3"/>
          <w:sz w:val="21"/>
          <w:szCs w:val="21"/>
          <w:highlight w:val="none"/>
        </w:rPr>
        <w:t>法定代表人（单位负责人）或其委托代理人：</w:t>
      </w:r>
      <w:r>
        <w:rPr>
          <w:spacing w:val="-4"/>
          <w:sz w:val="21"/>
          <w:szCs w:val="21"/>
          <w:highlight w:val="none"/>
          <w:u w:val="single" w:color="auto"/>
        </w:rPr>
        <w:t xml:space="preserve">       </w:t>
      </w:r>
      <w:r>
        <w:rPr>
          <w:spacing w:val="-59"/>
          <w:sz w:val="21"/>
          <w:szCs w:val="21"/>
          <w:highlight w:val="none"/>
        </w:rPr>
        <w:t xml:space="preserve"> </w:t>
      </w:r>
      <w:r>
        <w:rPr>
          <w:spacing w:val="-4"/>
          <w:sz w:val="21"/>
          <w:szCs w:val="21"/>
          <w:highlight w:val="none"/>
        </w:rPr>
        <w:t>(签字或盖</w:t>
      </w:r>
      <w:r>
        <w:rPr>
          <w:spacing w:val="-8"/>
          <w:sz w:val="21"/>
          <w:szCs w:val="21"/>
          <w:highlight w:val="none"/>
        </w:rPr>
        <w:t>章)</w:t>
      </w:r>
    </w:p>
    <w:p w14:paraId="0A22C0E4">
      <w:pPr>
        <w:pStyle w:val="8"/>
        <w:spacing w:before="157" w:line="221" w:lineRule="auto"/>
        <w:ind w:left="4278"/>
        <w:rPr>
          <w:sz w:val="21"/>
          <w:szCs w:val="21"/>
          <w:highlight w:val="none"/>
        </w:rPr>
      </w:pPr>
      <w:r>
        <w:rPr>
          <w:spacing w:val="-10"/>
          <w:sz w:val="21"/>
          <w:szCs w:val="21"/>
          <w:highlight w:val="none"/>
        </w:rPr>
        <w:t>日期：</w:t>
      </w:r>
      <w:r>
        <w:rPr>
          <w:spacing w:val="11"/>
          <w:sz w:val="21"/>
          <w:szCs w:val="21"/>
          <w:highlight w:val="none"/>
          <w:u w:val="single" w:color="auto"/>
        </w:rPr>
        <w:t xml:space="preserve">       </w:t>
      </w:r>
      <w:r>
        <w:rPr>
          <w:spacing w:val="-93"/>
          <w:sz w:val="21"/>
          <w:szCs w:val="21"/>
          <w:highlight w:val="none"/>
        </w:rPr>
        <w:t xml:space="preserve"> </w:t>
      </w:r>
      <w:r>
        <w:rPr>
          <w:spacing w:val="-10"/>
          <w:sz w:val="21"/>
          <w:szCs w:val="21"/>
          <w:highlight w:val="none"/>
        </w:rPr>
        <w:t>年</w:t>
      </w:r>
      <w:r>
        <w:rPr>
          <w:spacing w:val="-10"/>
          <w:sz w:val="21"/>
          <w:szCs w:val="21"/>
          <w:highlight w:val="none"/>
          <w:u w:val="single" w:color="auto"/>
        </w:rPr>
        <w:t xml:space="preserve">    </w:t>
      </w:r>
      <w:r>
        <w:rPr>
          <w:spacing w:val="-92"/>
          <w:sz w:val="21"/>
          <w:szCs w:val="21"/>
          <w:highlight w:val="none"/>
        </w:rPr>
        <w:t xml:space="preserve"> </w:t>
      </w:r>
      <w:r>
        <w:rPr>
          <w:spacing w:val="-10"/>
          <w:sz w:val="21"/>
          <w:szCs w:val="21"/>
          <w:highlight w:val="none"/>
        </w:rPr>
        <w:t>月</w:t>
      </w:r>
      <w:r>
        <w:rPr>
          <w:spacing w:val="-10"/>
          <w:sz w:val="21"/>
          <w:szCs w:val="21"/>
          <w:highlight w:val="none"/>
          <w:u w:val="single" w:color="auto"/>
        </w:rPr>
        <w:t xml:space="preserve">    </w:t>
      </w:r>
      <w:r>
        <w:rPr>
          <w:spacing w:val="-61"/>
          <w:sz w:val="21"/>
          <w:szCs w:val="21"/>
          <w:highlight w:val="none"/>
        </w:rPr>
        <w:t xml:space="preserve"> </w:t>
      </w:r>
      <w:r>
        <w:rPr>
          <w:spacing w:val="-10"/>
          <w:sz w:val="21"/>
          <w:szCs w:val="21"/>
          <w:highlight w:val="none"/>
        </w:rPr>
        <w:t>日</w:t>
      </w:r>
    </w:p>
    <w:p w14:paraId="62183B53">
      <w:pPr>
        <w:spacing w:line="221" w:lineRule="auto"/>
        <w:rPr>
          <w:sz w:val="21"/>
          <w:szCs w:val="21"/>
          <w:highlight w:val="none"/>
        </w:rPr>
        <w:sectPr>
          <w:footerReference r:id="rId12" w:type="default"/>
          <w:pgSz w:w="11900" w:h="16841"/>
          <w:pgMar w:top="400" w:right="0" w:bottom="1292" w:left="0" w:header="0" w:footer="1057" w:gutter="0"/>
          <w:pgNumType w:fmt="decimal"/>
          <w:cols w:space="720" w:num="1"/>
        </w:sectPr>
      </w:pPr>
    </w:p>
    <w:p w14:paraId="53A272A0">
      <w:pPr>
        <w:spacing w:before="91" w:line="223" w:lineRule="auto"/>
        <w:ind w:left="5151"/>
        <w:rPr>
          <w:rFonts w:ascii="黑体" w:hAnsi="黑体" w:eastAsia="黑体" w:cs="黑体"/>
          <w:spacing w:val="-9"/>
          <w:sz w:val="28"/>
          <w:szCs w:val="28"/>
          <w:highlight w:val="none"/>
        </w:rPr>
      </w:pPr>
    </w:p>
    <w:p w14:paraId="5887A1FE">
      <w:pPr>
        <w:spacing w:before="91" w:line="223" w:lineRule="auto"/>
        <w:ind w:left="5151"/>
        <w:rPr>
          <w:rFonts w:ascii="黑体" w:hAnsi="黑体" w:eastAsia="黑体" w:cs="黑体"/>
          <w:sz w:val="28"/>
          <w:szCs w:val="28"/>
          <w:highlight w:val="none"/>
        </w:rPr>
      </w:pPr>
      <w:r>
        <w:rPr>
          <w:rFonts w:hint="eastAsia" w:ascii="黑体" w:hAnsi="黑体" w:eastAsia="黑体" w:cs="黑体"/>
          <w:spacing w:val="-9"/>
          <w:sz w:val="28"/>
          <w:szCs w:val="28"/>
          <w:highlight w:val="none"/>
          <w:lang w:val="en-US" w:eastAsia="zh-CN"/>
        </w:rPr>
        <w:t>10</w:t>
      </w:r>
      <w:r>
        <w:rPr>
          <w:rFonts w:ascii="黑体" w:hAnsi="黑体" w:eastAsia="黑体" w:cs="黑体"/>
          <w:spacing w:val="-9"/>
          <w:sz w:val="28"/>
          <w:szCs w:val="28"/>
          <w:highlight w:val="none"/>
        </w:rPr>
        <w:t>.投标承诺书</w:t>
      </w:r>
    </w:p>
    <w:p w14:paraId="3D8ADF77">
      <w:pPr>
        <w:pStyle w:val="8"/>
        <w:spacing w:before="203" w:line="221" w:lineRule="auto"/>
        <w:ind w:left="1809"/>
        <w:rPr>
          <w:sz w:val="24"/>
          <w:szCs w:val="24"/>
          <w:highlight w:val="none"/>
        </w:rPr>
      </w:pPr>
      <w:r>
        <w:rPr>
          <w:spacing w:val="-10"/>
          <w:sz w:val="24"/>
          <w:szCs w:val="24"/>
          <w:highlight w:val="none"/>
        </w:rPr>
        <w:t>致</w:t>
      </w:r>
      <w:r>
        <w:rPr>
          <w:spacing w:val="8"/>
          <w:sz w:val="24"/>
          <w:szCs w:val="24"/>
          <w:highlight w:val="none"/>
          <w:u w:val="single" w:color="auto"/>
        </w:rPr>
        <w:t xml:space="preserve">      </w:t>
      </w:r>
      <w:r>
        <w:rPr>
          <w:spacing w:val="-10"/>
          <w:sz w:val="24"/>
          <w:szCs w:val="24"/>
          <w:highlight w:val="none"/>
          <w:u w:val="single" w:color="auto"/>
        </w:rPr>
        <w:t>(</w:t>
      </w:r>
      <w:r>
        <w:rPr>
          <w:rFonts w:hint="eastAsia"/>
          <w:spacing w:val="-10"/>
          <w:sz w:val="24"/>
          <w:szCs w:val="24"/>
          <w:highlight w:val="none"/>
          <w:u w:val="single" w:color="auto"/>
          <w:lang w:val="en-US" w:eastAsia="zh-CN"/>
        </w:rPr>
        <w:t>采购</w:t>
      </w:r>
      <w:r>
        <w:rPr>
          <w:spacing w:val="-10"/>
          <w:sz w:val="24"/>
          <w:szCs w:val="24"/>
          <w:highlight w:val="none"/>
          <w:u w:val="single" w:color="auto"/>
        </w:rPr>
        <w:t>人)</w:t>
      </w:r>
      <w:r>
        <w:rPr>
          <w:spacing w:val="22"/>
          <w:sz w:val="24"/>
          <w:szCs w:val="24"/>
          <w:highlight w:val="none"/>
          <w:u w:val="single" w:color="auto"/>
        </w:rPr>
        <w:t xml:space="preserve">     </w:t>
      </w:r>
      <w:r>
        <w:rPr>
          <w:spacing w:val="-10"/>
          <w:sz w:val="24"/>
          <w:szCs w:val="24"/>
          <w:highlight w:val="none"/>
        </w:rPr>
        <w:t>：</w:t>
      </w:r>
    </w:p>
    <w:p w14:paraId="23783280">
      <w:pPr>
        <w:pStyle w:val="8"/>
        <w:spacing w:before="173" w:line="360" w:lineRule="auto"/>
        <w:ind w:left="1814" w:right="1905" w:firstLine="415"/>
        <w:rPr>
          <w:sz w:val="21"/>
          <w:szCs w:val="21"/>
          <w:highlight w:val="none"/>
        </w:rPr>
      </w:pPr>
      <w:r>
        <w:rPr>
          <w:sz w:val="21"/>
          <w:szCs w:val="21"/>
          <w:highlight w:val="none"/>
        </w:rPr>
        <w:t>我公司参加</w:t>
      </w:r>
      <w:r>
        <w:rPr>
          <w:sz w:val="21"/>
          <w:szCs w:val="21"/>
          <w:highlight w:val="none"/>
          <w:u w:val="single" w:color="auto"/>
        </w:rPr>
        <w:t xml:space="preserve">            (项</w:t>
      </w:r>
      <w:r>
        <w:rPr>
          <w:spacing w:val="-1"/>
          <w:sz w:val="21"/>
          <w:szCs w:val="21"/>
          <w:highlight w:val="none"/>
          <w:u w:val="single" w:color="auto"/>
        </w:rPr>
        <w:t xml:space="preserve">目名称)     </w:t>
      </w:r>
      <w:r>
        <w:rPr>
          <w:spacing w:val="-94"/>
          <w:sz w:val="21"/>
          <w:szCs w:val="21"/>
          <w:highlight w:val="none"/>
        </w:rPr>
        <w:t xml:space="preserve"> </w:t>
      </w:r>
      <w:r>
        <w:rPr>
          <w:spacing w:val="-1"/>
          <w:sz w:val="21"/>
          <w:szCs w:val="21"/>
          <w:highlight w:val="none"/>
        </w:rPr>
        <w:t>投标，</w:t>
      </w:r>
      <w:r>
        <w:rPr>
          <w:spacing w:val="8"/>
          <w:sz w:val="21"/>
          <w:szCs w:val="21"/>
          <w:highlight w:val="none"/>
        </w:rPr>
        <w:t xml:space="preserve"> </w:t>
      </w:r>
      <w:r>
        <w:rPr>
          <w:spacing w:val="-1"/>
          <w:sz w:val="21"/>
          <w:szCs w:val="21"/>
          <w:highlight w:val="none"/>
        </w:rPr>
        <w:t>现就有关事项向招标人郑重承诺如</w:t>
      </w:r>
      <w:r>
        <w:rPr>
          <w:sz w:val="21"/>
          <w:szCs w:val="21"/>
          <w:highlight w:val="none"/>
        </w:rPr>
        <w:t xml:space="preserve"> </w:t>
      </w:r>
      <w:r>
        <w:rPr>
          <w:spacing w:val="-16"/>
          <w:sz w:val="21"/>
          <w:szCs w:val="21"/>
          <w:highlight w:val="none"/>
        </w:rPr>
        <w:t>下：</w:t>
      </w:r>
    </w:p>
    <w:p w14:paraId="3AA5B4E7">
      <w:pPr>
        <w:pStyle w:val="8"/>
        <w:spacing w:before="1" w:line="359" w:lineRule="auto"/>
        <w:ind w:left="1807" w:right="1810" w:firstLine="436"/>
        <w:jc w:val="both"/>
        <w:rPr>
          <w:sz w:val="21"/>
          <w:szCs w:val="21"/>
          <w:highlight w:val="none"/>
        </w:rPr>
      </w:pPr>
      <w:r>
        <w:rPr>
          <w:spacing w:val="-1"/>
          <w:sz w:val="21"/>
          <w:szCs w:val="21"/>
          <w:highlight w:val="none"/>
        </w:rPr>
        <w:t>1、我公司承诺本次投标提供的市场行为证明、企业业绩等材料均真实无任何虚假。若</w:t>
      </w:r>
      <w:r>
        <w:rPr>
          <w:spacing w:val="6"/>
          <w:sz w:val="21"/>
          <w:szCs w:val="21"/>
          <w:highlight w:val="none"/>
        </w:rPr>
        <w:t xml:space="preserve"> </w:t>
      </w:r>
      <w:r>
        <w:rPr>
          <w:sz w:val="21"/>
          <w:szCs w:val="21"/>
          <w:highlight w:val="none"/>
        </w:rPr>
        <w:t>在招投标过程及预中标公示过程中被查存在虚假，同意被取消投标资格及中标资格</w:t>
      </w:r>
      <w:r>
        <w:rPr>
          <w:spacing w:val="-1"/>
          <w:sz w:val="21"/>
          <w:szCs w:val="21"/>
          <w:highlight w:val="none"/>
        </w:rPr>
        <w:t>，并接受按照有关规定作出的处罚。</w:t>
      </w:r>
    </w:p>
    <w:p w14:paraId="25555B19">
      <w:pPr>
        <w:pStyle w:val="8"/>
        <w:spacing w:before="2" w:line="358" w:lineRule="auto"/>
        <w:ind w:left="1810" w:right="1797" w:firstLine="420"/>
        <w:rPr>
          <w:sz w:val="21"/>
          <w:szCs w:val="21"/>
          <w:highlight w:val="none"/>
        </w:rPr>
      </w:pPr>
      <w:r>
        <w:rPr>
          <w:sz w:val="21"/>
          <w:szCs w:val="21"/>
          <w:highlight w:val="none"/>
        </w:rPr>
        <w:t>如其他投标人对以上材料的真实性提出投诉，我单位承诺在贵单位要求</w:t>
      </w:r>
      <w:r>
        <w:rPr>
          <w:spacing w:val="-1"/>
          <w:sz w:val="21"/>
          <w:szCs w:val="21"/>
          <w:highlight w:val="none"/>
        </w:rPr>
        <w:t>的时间内(一般</w:t>
      </w:r>
      <w:r>
        <w:rPr>
          <w:sz w:val="21"/>
          <w:szCs w:val="21"/>
          <w:highlight w:val="none"/>
        </w:rPr>
        <w:t xml:space="preserve"> 为 5 个工作日)，向贵单位提供有关主管部门出具的证明材料和核实渠道。</w:t>
      </w:r>
      <w:r>
        <w:rPr>
          <w:spacing w:val="-1"/>
          <w:sz w:val="21"/>
          <w:szCs w:val="21"/>
          <w:highlight w:val="none"/>
        </w:rPr>
        <w:t>逾期未提供</w:t>
      </w:r>
    </w:p>
    <w:p w14:paraId="614BDFF9">
      <w:pPr>
        <w:pStyle w:val="8"/>
        <w:spacing w:line="220" w:lineRule="auto"/>
        <w:ind w:left="1825"/>
        <w:rPr>
          <w:sz w:val="21"/>
          <w:szCs w:val="21"/>
          <w:highlight w:val="none"/>
        </w:rPr>
      </w:pPr>
      <w:r>
        <w:rPr>
          <w:spacing w:val="-1"/>
          <w:sz w:val="21"/>
          <w:szCs w:val="21"/>
          <w:highlight w:val="none"/>
        </w:rPr>
        <w:t>的、或提供的证明材料不满足要求的，视为我单位自动放弃投标资格或</w:t>
      </w:r>
      <w:r>
        <w:rPr>
          <w:spacing w:val="-2"/>
          <w:sz w:val="21"/>
          <w:szCs w:val="21"/>
          <w:highlight w:val="none"/>
        </w:rPr>
        <w:t>中标资格。</w:t>
      </w:r>
    </w:p>
    <w:p w14:paraId="6ECA6773">
      <w:pPr>
        <w:pStyle w:val="8"/>
        <w:spacing w:before="157" w:line="314" w:lineRule="auto"/>
        <w:ind w:left="1806" w:right="1807" w:firstLine="423"/>
        <w:rPr>
          <w:sz w:val="21"/>
          <w:szCs w:val="21"/>
          <w:highlight w:val="none"/>
        </w:rPr>
      </w:pPr>
      <w:r>
        <w:rPr>
          <w:sz w:val="21"/>
          <w:szCs w:val="21"/>
          <w:highlight w:val="none"/>
        </w:rPr>
        <w:t>2、我公司承诺不与其他投标人串通投标，不使用非</w:t>
      </w:r>
      <w:r>
        <w:rPr>
          <w:spacing w:val="-1"/>
          <w:sz w:val="21"/>
          <w:szCs w:val="21"/>
          <w:highlight w:val="none"/>
        </w:rPr>
        <w:t>法手段获取中标。若在招投标过程</w:t>
      </w:r>
      <w:r>
        <w:rPr>
          <w:sz w:val="21"/>
          <w:szCs w:val="21"/>
          <w:highlight w:val="none"/>
        </w:rPr>
        <w:t xml:space="preserve"> 及预中标公示过程中发现有上述行为，同意被取消投标资格及中标资格，并接受按</w:t>
      </w:r>
      <w:r>
        <w:rPr>
          <w:spacing w:val="-1"/>
          <w:sz w:val="21"/>
          <w:szCs w:val="21"/>
          <w:highlight w:val="none"/>
        </w:rPr>
        <w:t>照有关</w:t>
      </w:r>
      <w:r>
        <w:rPr>
          <w:sz w:val="21"/>
          <w:szCs w:val="21"/>
          <w:highlight w:val="none"/>
        </w:rPr>
        <w:t xml:space="preserve">  </w:t>
      </w:r>
      <w:r>
        <w:rPr>
          <w:spacing w:val="-1"/>
          <w:sz w:val="21"/>
          <w:szCs w:val="21"/>
          <w:highlight w:val="none"/>
        </w:rPr>
        <w:t>规定作出的处罚。</w:t>
      </w:r>
    </w:p>
    <w:p w14:paraId="376AE00C">
      <w:pPr>
        <w:pStyle w:val="8"/>
        <w:spacing w:before="155" w:line="290" w:lineRule="auto"/>
        <w:ind w:left="1808" w:right="1846" w:firstLine="423"/>
        <w:rPr>
          <w:sz w:val="21"/>
          <w:szCs w:val="21"/>
          <w:highlight w:val="none"/>
        </w:rPr>
      </w:pPr>
      <w:r>
        <w:rPr>
          <w:spacing w:val="-1"/>
          <w:sz w:val="21"/>
          <w:szCs w:val="21"/>
          <w:highlight w:val="none"/>
        </w:rPr>
        <w:t>3、我公司承诺不存在因违反建筑市场管理、</w:t>
      </w:r>
      <w:r>
        <w:rPr>
          <w:spacing w:val="-2"/>
          <w:sz w:val="21"/>
          <w:szCs w:val="21"/>
          <w:highlight w:val="none"/>
        </w:rPr>
        <w:t>建设工程质量安全等法律、法规、规章，</w:t>
      </w:r>
      <w:r>
        <w:rPr>
          <w:sz w:val="21"/>
          <w:szCs w:val="21"/>
          <w:highlight w:val="none"/>
        </w:rPr>
        <w:t xml:space="preserve"> </w:t>
      </w:r>
      <w:r>
        <w:rPr>
          <w:spacing w:val="-2"/>
          <w:sz w:val="21"/>
          <w:szCs w:val="21"/>
          <w:highlight w:val="none"/>
        </w:rPr>
        <w:t>而被限制投标且在有效期内的市场行为。</w:t>
      </w:r>
    </w:p>
    <w:p w14:paraId="631B819F">
      <w:pPr>
        <w:pStyle w:val="8"/>
        <w:spacing w:before="157" w:line="221" w:lineRule="auto"/>
        <w:ind w:left="2226"/>
        <w:rPr>
          <w:sz w:val="21"/>
          <w:szCs w:val="21"/>
          <w:highlight w:val="none"/>
        </w:rPr>
      </w:pPr>
      <w:r>
        <w:rPr>
          <w:spacing w:val="-2"/>
          <w:sz w:val="21"/>
          <w:szCs w:val="21"/>
          <w:highlight w:val="none"/>
        </w:rPr>
        <w:t>4、我公司承诺信用状况良好，在参与投标时无以下情形：</w:t>
      </w:r>
    </w:p>
    <w:p w14:paraId="5EB80E42">
      <w:pPr>
        <w:pStyle w:val="8"/>
        <w:spacing w:before="156" w:line="291" w:lineRule="auto"/>
        <w:ind w:left="1808" w:right="1800" w:firstLine="456"/>
        <w:rPr>
          <w:sz w:val="21"/>
          <w:szCs w:val="21"/>
          <w:highlight w:val="none"/>
        </w:rPr>
      </w:pPr>
      <w:r>
        <w:rPr>
          <w:spacing w:val="-1"/>
          <w:sz w:val="21"/>
          <w:szCs w:val="21"/>
          <w:highlight w:val="none"/>
        </w:rPr>
        <w:t>( 1 )被人民检察院列入行贿犯罪档案，自判决生效之日起，至投标文件递交截</w:t>
      </w:r>
      <w:r>
        <w:rPr>
          <w:spacing w:val="-2"/>
          <w:sz w:val="21"/>
          <w:szCs w:val="21"/>
          <w:highlight w:val="none"/>
        </w:rPr>
        <w:t>止之日</w:t>
      </w:r>
      <w:r>
        <w:rPr>
          <w:sz w:val="21"/>
          <w:szCs w:val="21"/>
          <w:highlight w:val="none"/>
        </w:rPr>
        <w:t xml:space="preserve"> </w:t>
      </w:r>
      <w:r>
        <w:rPr>
          <w:spacing w:val="-1"/>
          <w:sz w:val="21"/>
          <w:szCs w:val="21"/>
          <w:highlight w:val="none"/>
        </w:rPr>
        <w:t>止，不满二年的；</w:t>
      </w:r>
    </w:p>
    <w:p w14:paraId="0DF80238">
      <w:pPr>
        <w:pStyle w:val="8"/>
        <w:spacing w:before="157" w:line="313" w:lineRule="auto"/>
        <w:ind w:left="1807" w:right="1800" w:firstLine="457"/>
        <w:rPr>
          <w:sz w:val="21"/>
          <w:szCs w:val="21"/>
          <w:highlight w:val="none"/>
        </w:rPr>
      </w:pPr>
      <w:r>
        <w:rPr>
          <w:spacing w:val="-1"/>
          <w:sz w:val="21"/>
          <w:szCs w:val="21"/>
          <w:highlight w:val="none"/>
        </w:rPr>
        <w:t>( 2 )被人民法院列为失信被执行人、被税务部门列为重大税收违法当事人、被</w:t>
      </w:r>
      <w:r>
        <w:rPr>
          <w:spacing w:val="-2"/>
          <w:sz w:val="21"/>
          <w:szCs w:val="21"/>
          <w:highlight w:val="none"/>
        </w:rPr>
        <w:t>有关部</w:t>
      </w:r>
      <w:r>
        <w:rPr>
          <w:sz w:val="21"/>
          <w:szCs w:val="21"/>
          <w:highlight w:val="none"/>
        </w:rPr>
        <w:t xml:space="preserve"> 门列入严重违法失信企业名单或经营异常名录，公布的受惩信息有效时间在投标文</w:t>
      </w:r>
      <w:r>
        <w:rPr>
          <w:spacing w:val="-1"/>
          <w:sz w:val="21"/>
          <w:szCs w:val="21"/>
          <w:highlight w:val="none"/>
        </w:rPr>
        <w:t>件递交</w:t>
      </w:r>
      <w:r>
        <w:rPr>
          <w:sz w:val="21"/>
          <w:szCs w:val="21"/>
          <w:highlight w:val="none"/>
        </w:rPr>
        <w:t xml:space="preserve">  </w:t>
      </w:r>
      <w:r>
        <w:rPr>
          <w:spacing w:val="-3"/>
          <w:sz w:val="21"/>
          <w:szCs w:val="21"/>
          <w:highlight w:val="none"/>
        </w:rPr>
        <w:t>截止之日后的。</w:t>
      </w:r>
    </w:p>
    <w:p w14:paraId="618C3841">
      <w:pPr>
        <w:pStyle w:val="8"/>
        <w:spacing w:before="157" w:line="359" w:lineRule="auto"/>
        <w:ind w:left="1825" w:right="1903" w:firstLine="404"/>
        <w:rPr>
          <w:sz w:val="21"/>
          <w:szCs w:val="21"/>
          <w:highlight w:val="none"/>
        </w:rPr>
      </w:pPr>
      <w:r>
        <w:rPr>
          <w:sz w:val="21"/>
          <w:szCs w:val="21"/>
          <w:highlight w:val="none"/>
        </w:rPr>
        <w:t>我公司信用状况接受社会监督，如与事实不符，我公司自愿承担以其他方</w:t>
      </w:r>
      <w:r>
        <w:rPr>
          <w:spacing w:val="-1"/>
          <w:sz w:val="21"/>
          <w:szCs w:val="21"/>
          <w:highlight w:val="none"/>
        </w:rPr>
        <w:t>式弄虚作假</w:t>
      </w:r>
      <w:r>
        <w:rPr>
          <w:sz w:val="21"/>
          <w:szCs w:val="21"/>
          <w:highlight w:val="none"/>
        </w:rPr>
        <w:t xml:space="preserve"> </w:t>
      </w:r>
      <w:r>
        <w:rPr>
          <w:spacing w:val="-4"/>
          <w:sz w:val="21"/>
          <w:szCs w:val="21"/>
          <w:highlight w:val="none"/>
        </w:rPr>
        <w:t>的法律责任。</w:t>
      </w:r>
    </w:p>
    <w:p w14:paraId="2C58CC32">
      <w:pPr>
        <w:pStyle w:val="8"/>
        <w:numPr>
          <w:ilvl w:val="0"/>
          <w:numId w:val="9"/>
        </w:numPr>
        <w:spacing w:before="1" w:line="220" w:lineRule="auto"/>
        <w:ind w:left="2232"/>
        <w:rPr>
          <w:rFonts w:ascii="宋体" w:hAnsi="宋体"/>
          <w:sz w:val="21"/>
          <w:szCs w:val="21"/>
          <w:highlight w:val="none"/>
        </w:rPr>
      </w:pPr>
      <w:r>
        <w:rPr>
          <w:sz w:val="21"/>
          <w:szCs w:val="21"/>
          <w:highlight w:val="none"/>
        </w:rPr>
        <w:t>我公司承诺严格按照相关法律、法规和规章</w:t>
      </w:r>
      <w:r>
        <w:rPr>
          <w:spacing w:val="-1"/>
          <w:sz w:val="21"/>
          <w:szCs w:val="21"/>
          <w:highlight w:val="none"/>
        </w:rPr>
        <w:t>的规定进行异议投诉。</w:t>
      </w:r>
    </w:p>
    <w:p w14:paraId="2163F4D1">
      <w:pPr>
        <w:pStyle w:val="8"/>
        <w:numPr>
          <w:ilvl w:val="0"/>
          <w:numId w:val="9"/>
        </w:numPr>
        <w:spacing w:before="1" w:line="220" w:lineRule="auto"/>
        <w:ind w:left="2232"/>
        <w:rPr>
          <w:rFonts w:ascii="宋体" w:hAnsi="宋体"/>
          <w:sz w:val="21"/>
          <w:szCs w:val="21"/>
          <w:highlight w:val="none"/>
        </w:rPr>
      </w:pPr>
      <w:r>
        <w:rPr>
          <w:rFonts w:hint="eastAsia" w:ascii="宋体" w:hAnsi="宋体"/>
          <w:sz w:val="21"/>
          <w:szCs w:val="21"/>
          <w:highlight w:val="none"/>
        </w:rPr>
        <w:t>如我方中标，我方承诺：</w:t>
      </w:r>
    </w:p>
    <w:p w14:paraId="59BC4DC9">
      <w:pPr>
        <w:spacing w:line="360" w:lineRule="auto"/>
        <w:ind w:firstLine="1890" w:firstLineChars="900"/>
        <w:rPr>
          <w:rFonts w:ascii="宋体" w:hAnsi="宋体"/>
          <w:sz w:val="21"/>
          <w:szCs w:val="21"/>
          <w:highlight w:val="none"/>
        </w:rPr>
      </w:pPr>
      <w:r>
        <w:rPr>
          <w:rFonts w:hint="eastAsia" w:ascii="宋体" w:hAnsi="宋体"/>
          <w:sz w:val="21"/>
          <w:szCs w:val="21"/>
          <w:highlight w:val="none"/>
        </w:rPr>
        <w:t>（</w:t>
      </w:r>
      <w:r>
        <w:rPr>
          <w:rFonts w:ascii="宋体" w:hAnsi="宋体"/>
          <w:sz w:val="21"/>
          <w:szCs w:val="21"/>
          <w:highlight w:val="none"/>
        </w:rPr>
        <w:t>1</w:t>
      </w:r>
      <w:r>
        <w:rPr>
          <w:rFonts w:hint="eastAsia" w:ascii="宋体" w:hAnsi="宋体"/>
          <w:sz w:val="21"/>
          <w:szCs w:val="21"/>
          <w:highlight w:val="none"/>
        </w:rPr>
        <w:t>）在收到中标通知书后，在中标通知书规定的期限内与你方签订合同；</w:t>
      </w:r>
    </w:p>
    <w:p w14:paraId="651377CD">
      <w:pPr>
        <w:spacing w:line="360" w:lineRule="auto"/>
        <w:ind w:firstLine="1890" w:firstLineChars="900"/>
        <w:rPr>
          <w:rFonts w:ascii="宋体" w:hAnsi="宋体"/>
          <w:sz w:val="21"/>
          <w:szCs w:val="21"/>
          <w:highlight w:val="none"/>
        </w:rPr>
      </w:pPr>
      <w:r>
        <w:rPr>
          <w:rFonts w:hint="eastAsia" w:ascii="宋体" w:hAnsi="宋体"/>
          <w:sz w:val="21"/>
          <w:szCs w:val="21"/>
          <w:highlight w:val="none"/>
        </w:rPr>
        <w:t>（</w:t>
      </w:r>
      <w:r>
        <w:rPr>
          <w:rFonts w:ascii="宋体" w:hAnsi="宋体"/>
          <w:sz w:val="21"/>
          <w:szCs w:val="21"/>
          <w:highlight w:val="none"/>
        </w:rPr>
        <w:t>2</w:t>
      </w:r>
      <w:r>
        <w:rPr>
          <w:rFonts w:hint="eastAsia" w:ascii="宋体" w:hAnsi="宋体"/>
          <w:sz w:val="21"/>
          <w:szCs w:val="21"/>
          <w:highlight w:val="none"/>
        </w:rPr>
        <w:t>）在签订合同时不向你方提出附加条件；</w:t>
      </w:r>
    </w:p>
    <w:p w14:paraId="50A6B20D">
      <w:pPr>
        <w:spacing w:line="360" w:lineRule="auto"/>
        <w:ind w:firstLine="1890" w:firstLineChars="900"/>
        <w:rPr>
          <w:rFonts w:ascii="宋体" w:hAnsi="宋体"/>
          <w:sz w:val="21"/>
          <w:szCs w:val="21"/>
          <w:highlight w:val="none"/>
        </w:rPr>
      </w:pP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）在合同约定的期限内完成合同规定的全部义务。</w:t>
      </w:r>
    </w:p>
    <w:p w14:paraId="081366B6">
      <w:pPr>
        <w:spacing w:line="360" w:lineRule="auto"/>
        <w:ind w:firstLine="1890" w:firstLineChars="900"/>
        <w:rPr>
          <w:rFonts w:ascii="宋体" w:hAnsi="宋体"/>
          <w:sz w:val="21"/>
          <w:szCs w:val="21"/>
          <w:highlight w:val="none"/>
        </w:rPr>
      </w:pPr>
      <w:r>
        <w:rPr>
          <w:rFonts w:hint="eastAsia" w:ascii="宋体" w:hAnsi="宋体" w:eastAsia="宋体"/>
          <w:sz w:val="21"/>
          <w:szCs w:val="21"/>
          <w:highlight w:val="none"/>
          <w:lang w:val="en-US" w:eastAsia="zh-CN"/>
        </w:rPr>
        <w:t>7</w:t>
      </w:r>
      <w:r>
        <w:rPr>
          <w:rFonts w:hint="eastAsia" w:ascii="宋体" w:hAnsi="宋体"/>
          <w:sz w:val="21"/>
          <w:szCs w:val="21"/>
          <w:highlight w:val="none"/>
        </w:rPr>
        <w:t>．我方在此声明，所提交的投标文件及有关资料内容完整、真实和准确。</w:t>
      </w:r>
    </w:p>
    <w:p w14:paraId="015DAAA7">
      <w:pPr>
        <w:spacing w:line="360" w:lineRule="auto"/>
        <w:ind w:firstLine="1890" w:firstLineChars="900"/>
        <w:rPr>
          <w:rFonts w:ascii="宋体" w:hAnsi="宋体"/>
          <w:sz w:val="21"/>
          <w:szCs w:val="21"/>
          <w:highlight w:val="none"/>
        </w:rPr>
      </w:pPr>
      <w:r>
        <w:rPr>
          <w:rFonts w:hint="eastAsia" w:ascii="宋体" w:hAnsi="宋体" w:eastAsia="宋体"/>
          <w:sz w:val="21"/>
          <w:szCs w:val="21"/>
          <w:highlight w:val="none"/>
          <w:lang w:val="en-US" w:eastAsia="zh-CN"/>
        </w:rPr>
        <w:t>8</w:t>
      </w:r>
      <w:r>
        <w:rPr>
          <w:rFonts w:hint="eastAsia" w:ascii="宋体" w:hAnsi="宋体"/>
          <w:sz w:val="21"/>
          <w:szCs w:val="21"/>
          <w:highlight w:val="none"/>
        </w:rPr>
        <w:t>.</w:t>
      </w:r>
      <w:r>
        <w:rPr>
          <w:rFonts w:hint="eastAsia" w:ascii="宋体" w:hAnsi="宋体"/>
          <w:sz w:val="21"/>
          <w:szCs w:val="21"/>
          <w:highlight w:val="none"/>
          <w:u w:val="single"/>
        </w:rPr>
        <w:t xml:space="preserve">            </w:t>
      </w:r>
      <w:r>
        <w:rPr>
          <w:rFonts w:ascii="宋体" w:hAnsi="宋体"/>
          <w:sz w:val="21"/>
          <w:szCs w:val="21"/>
          <w:highlight w:val="none"/>
          <w:u w:val="single"/>
        </w:rPr>
        <w:t xml:space="preserve">     </w:t>
      </w:r>
      <w:r>
        <w:rPr>
          <w:rFonts w:hint="eastAsia" w:ascii="宋体" w:hAnsi="宋体"/>
          <w:sz w:val="21"/>
          <w:szCs w:val="21"/>
          <w:highlight w:val="none"/>
        </w:rPr>
        <w:t>（其他补充说明）。</w:t>
      </w:r>
    </w:p>
    <w:p w14:paraId="4CCBBCD9">
      <w:pPr>
        <w:pStyle w:val="8"/>
        <w:numPr>
          <w:ilvl w:val="0"/>
          <w:numId w:val="0"/>
        </w:numPr>
        <w:kinsoku w:val="0"/>
        <w:autoSpaceDE w:val="0"/>
        <w:autoSpaceDN w:val="0"/>
        <w:adjustRightInd w:val="0"/>
        <w:snapToGrid w:val="0"/>
        <w:spacing w:before="1" w:line="220" w:lineRule="auto"/>
        <w:jc w:val="left"/>
        <w:textAlignment w:val="baseline"/>
        <w:rPr>
          <w:spacing w:val="-1"/>
          <w:sz w:val="21"/>
          <w:szCs w:val="21"/>
          <w:highlight w:val="none"/>
        </w:rPr>
      </w:pPr>
    </w:p>
    <w:p w14:paraId="78703BBD">
      <w:pPr>
        <w:pStyle w:val="8"/>
        <w:spacing w:before="157" w:line="221" w:lineRule="auto"/>
        <w:ind w:left="2228"/>
        <w:rPr>
          <w:sz w:val="21"/>
          <w:szCs w:val="21"/>
          <w:highlight w:val="none"/>
        </w:rPr>
      </w:pPr>
      <w:r>
        <w:rPr>
          <w:spacing w:val="-4"/>
          <w:sz w:val="21"/>
          <w:szCs w:val="21"/>
          <w:highlight w:val="none"/>
        </w:rPr>
        <w:t>特此承诺！</w:t>
      </w:r>
    </w:p>
    <w:p w14:paraId="14697956">
      <w:pPr>
        <w:pStyle w:val="8"/>
        <w:spacing w:before="156" w:line="221" w:lineRule="auto"/>
        <w:ind w:left="5278"/>
        <w:rPr>
          <w:sz w:val="21"/>
          <w:szCs w:val="21"/>
          <w:highlight w:val="none"/>
        </w:rPr>
      </w:pPr>
      <w:r>
        <w:rPr>
          <w:spacing w:val="-7"/>
          <w:sz w:val="21"/>
          <w:szCs w:val="21"/>
          <w:highlight w:val="none"/>
        </w:rPr>
        <w:t>投标人</w:t>
      </w:r>
      <w:r>
        <w:rPr>
          <w:spacing w:val="-7"/>
          <w:sz w:val="21"/>
          <w:szCs w:val="21"/>
          <w:highlight w:val="none"/>
        </w:rPr>
        <w:t xml:space="preserve">名称： </w:t>
      </w:r>
      <w:r>
        <w:rPr>
          <w:spacing w:val="-7"/>
          <w:sz w:val="21"/>
          <w:szCs w:val="21"/>
          <w:highlight w:val="none"/>
          <w:u w:val="single" w:color="auto"/>
        </w:rPr>
        <w:t xml:space="preserve">                         </w:t>
      </w:r>
      <w:r>
        <w:rPr>
          <w:spacing w:val="-47"/>
          <w:sz w:val="21"/>
          <w:szCs w:val="21"/>
          <w:highlight w:val="none"/>
        </w:rPr>
        <w:t xml:space="preserve"> </w:t>
      </w:r>
      <w:r>
        <w:rPr>
          <w:spacing w:val="-7"/>
          <w:sz w:val="21"/>
          <w:szCs w:val="21"/>
          <w:highlight w:val="none"/>
        </w:rPr>
        <w:t>(盖单位章)</w:t>
      </w:r>
    </w:p>
    <w:p w14:paraId="1A8918CB">
      <w:pPr>
        <w:pStyle w:val="8"/>
        <w:spacing w:before="159" w:line="221" w:lineRule="auto"/>
        <w:ind w:left="3529"/>
        <w:rPr>
          <w:sz w:val="21"/>
          <w:szCs w:val="21"/>
          <w:highlight w:val="none"/>
        </w:rPr>
      </w:pPr>
      <w:r>
        <w:rPr>
          <w:spacing w:val="-5"/>
          <w:sz w:val="21"/>
          <w:szCs w:val="21"/>
          <w:highlight w:val="none"/>
        </w:rPr>
        <w:t>法定代表人（单位负责人）或其委托代理人：</w:t>
      </w:r>
      <w:r>
        <w:rPr>
          <w:spacing w:val="5"/>
          <w:sz w:val="21"/>
          <w:szCs w:val="21"/>
          <w:highlight w:val="none"/>
          <w:u w:val="single" w:color="auto"/>
        </w:rPr>
        <w:t xml:space="preserve">           </w:t>
      </w:r>
      <w:r>
        <w:rPr>
          <w:spacing w:val="-51"/>
          <w:sz w:val="21"/>
          <w:szCs w:val="21"/>
          <w:highlight w:val="none"/>
        </w:rPr>
        <w:t xml:space="preserve"> </w:t>
      </w:r>
      <w:r>
        <w:rPr>
          <w:spacing w:val="-5"/>
          <w:sz w:val="21"/>
          <w:szCs w:val="21"/>
          <w:highlight w:val="none"/>
        </w:rPr>
        <w:t>(签字或盖章)</w:t>
      </w:r>
    </w:p>
    <w:p w14:paraId="411B1B3E">
      <w:pPr>
        <w:pStyle w:val="8"/>
        <w:spacing w:before="157" w:line="221" w:lineRule="auto"/>
        <w:ind w:left="7304"/>
        <w:rPr>
          <w:sz w:val="21"/>
          <w:szCs w:val="21"/>
          <w:highlight w:val="none"/>
        </w:rPr>
      </w:pPr>
      <w:r>
        <w:rPr>
          <w:spacing w:val="-10"/>
          <w:sz w:val="21"/>
          <w:szCs w:val="21"/>
          <w:highlight w:val="none"/>
        </w:rPr>
        <w:t>日期：</w:t>
      </w:r>
      <w:r>
        <w:rPr>
          <w:spacing w:val="11"/>
          <w:sz w:val="21"/>
          <w:szCs w:val="21"/>
          <w:highlight w:val="none"/>
          <w:u w:val="single" w:color="auto"/>
        </w:rPr>
        <w:t xml:space="preserve">       </w:t>
      </w:r>
      <w:r>
        <w:rPr>
          <w:spacing w:val="-93"/>
          <w:sz w:val="21"/>
          <w:szCs w:val="21"/>
          <w:highlight w:val="none"/>
        </w:rPr>
        <w:t xml:space="preserve"> </w:t>
      </w:r>
      <w:r>
        <w:rPr>
          <w:spacing w:val="-10"/>
          <w:sz w:val="21"/>
          <w:szCs w:val="21"/>
          <w:highlight w:val="none"/>
        </w:rPr>
        <w:t>年</w:t>
      </w:r>
      <w:r>
        <w:rPr>
          <w:spacing w:val="-10"/>
          <w:sz w:val="21"/>
          <w:szCs w:val="21"/>
          <w:highlight w:val="none"/>
          <w:u w:val="single" w:color="auto"/>
        </w:rPr>
        <w:t xml:space="preserve">    </w:t>
      </w:r>
      <w:r>
        <w:rPr>
          <w:spacing w:val="-92"/>
          <w:sz w:val="21"/>
          <w:szCs w:val="21"/>
          <w:highlight w:val="none"/>
        </w:rPr>
        <w:t xml:space="preserve"> </w:t>
      </w:r>
      <w:r>
        <w:rPr>
          <w:spacing w:val="-10"/>
          <w:sz w:val="21"/>
          <w:szCs w:val="21"/>
          <w:highlight w:val="none"/>
        </w:rPr>
        <w:t>月</w:t>
      </w:r>
      <w:r>
        <w:rPr>
          <w:spacing w:val="-10"/>
          <w:sz w:val="21"/>
          <w:szCs w:val="21"/>
          <w:highlight w:val="none"/>
          <w:u w:val="single" w:color="auto"/>
        </w:rPr>
        <w:t xml:space="preserve">    </w:t>
      </w:r>
      <w:r>
        <w:rPr>
          <w:spacing w:val="-61"/>
          <w:sz w:val="21"/>
          <w:szCs w:val="21"/>
          <w:highlight w:val="none"/>
        </w:rPr>
        <w:t xml:space="preserve"> </w:t>
      </w:r>
      <w:r>
        <w:rPr>
          <w:spacing w:val="-10"/>
          <w:sz w:val="21"/>
          <w:szCs w:val="21"/>
          <w:highlight w:val="none"/>
        </w:rPr>
        <w:t>日</w:t>
      </w:r>
    </w:p>
    <w:p w14:paraId="2E7CAD1B">
      <w:pPr>
        <w:spacing w:line="221" w:lineRule="auto"/>
        <w:rPr>
          <w:sz w:val="21"/>
          <w:szCs w:val="21"/>
          <w:highlight w:val="none"/>
        </w:rPr>
        <w:sectPr>
          <w:footerReference r:id="rId13" w:type="default"/>
          <w:pgSz w:w="11900" w:h="16841"/>
          <w:pgMar w:top="400" w:right="0" w:bottom="1292" w:left="0" w:header="0" w:footer="1057" w:gutter="0"/>
          <w:pgNumType w:fmt="decimal"/>
          <w:cols w:space="720" w:num="1"/>
        </w:sectPr>
      </w:pPr>
    </w:p>
    <w:p w14:paraId="0E517948">
      <w:pPr>
        <w:spacing w:line="245" w:lineRule="auto"/>
        <w:rPr>
          <w:rFonts w:ascii="Arial"/>
          <w:sz w:val="21"/>
          <w:highlight w:val="none"/>
        </w:rPr>
      </w:pPr>
    </w:p>
    <w:p w14:paraId="4B74F0F0">
      <w:pPr>
        <w:spacing w:line="245" w:lineRule="auto"/>
        <w:rPr>
          <w:rFonts w:ascii="Arial"/>
          <w:sz w:val="21"/>
          <w:highlight w:val="none"/>
        </w:rPr>
      </w:pPr>
    </w:p>
    <w:p w14:paraId="611628E5">
      <w:pPr>
        <w:spacing w:line="245" w:lineRule="auto"/>
        <w:rPr>
          <w:rFonts w:ascii="Arial"/>
          <w:sz w:val="21"/>
          <w:highlight w:val="none"/>
        </w:rPr>
      </w:pPr>
    </w:p>
    <w:p w14:paraId="0DCB1970">
      <w:pPr>
        <w:spacing w:line="245" w:lineRule="auto"/>
        <w:rPr>
          <w:rFonts w:ascii="Arial"/>
          <w:sz w:val="21"/>
          <w:highlight w:val="none"/>
        </w:rPr>
      </w:pPr>
    </w:p>
    <w:p w14:paraId="2538DAB9">
      <w:pPr>
        <w:spacing w:before="91" w:line="221" w:lineRule="auto"/>
        <w:ind w:left="4750"/>
        <w:outlineLvl w:val="1"/>
        <w:rPr>
          <w:rFonts w:ascii="黑体" w:hAnsi="黑体" w:eastAsia="黑体" w:cs="黑体"/>
          <w:sz w:val="28"/>
          <w:szCs w:val="28"/>
          <w:highlight w:val="none"/>
        </w:rPr>
      </w:pPr>
      <w:bookmarkStart w:id="106" w:name="_Toc4874"/>
      <w:r>
        <w:rPr>
          <w:rFonts w:hint="eastAsia" w:ascii="黑体" w:hAnsi="黑体" w:eastAsia="黑体" w:cs="黑体"/>
          <w:spacing w:val="-9"/>
          <w:sz w:val="28"/>
          <w:szCs w:val="28"/>
          <w:highlight w:val="none"/>
          <w:lang w:val="en-US" w:eastAsia="zh-CN"/>
        </w:rPr>
        <w:t>11</w:t>
      </w:r>
      <w:r>
        <w:rPr>
          <w:rFonts w:ascii="黑体" w:hAnsi="黑体" w:eastAsia="黑体" w:cs="黑体"/>
          <w:spacing w:val="-9"/>
          <w:sz w:val="28"/>
          <w:szCs w:val="28"/>
          <w:highlight w:val="none"/>
        </w:rPr>
        <w:t>.投标人资格声明函</w:t>
      </w:r>
      <w:bookmarkEnd w:id="106"/>
    </w:p>
    <w:p w14:paraId="0F2CBFBA">
      <w:pPr>
        <w:spacing w:line="269" w:lineRule="auto"/>
        <w:rPr>
          <w:rFonts w:ascii="Arial"/>
          <w:sz w:val="21"/>
          <w:highlight w:val="none"/>
        </w:rPr>
      </w:pPr>
    </w:p>
    <w:p w14:paraId="105FA0CB">
      <w:pPr>
        <w:spacing w:line="269" w:lineRule="auto"/>
        <w:rPr>
          <w:rFonts w:ascii="Arial"/>
          <w:sz w:val="21"/>
          <w:highlight w:val="none"/>
        </w:rPr>
      </w:pPr>
    </w:p>
    <w:p w14:paraId="29CC4DC1">
      <w:pPr>
        <w:pStyle w:val="8"/>
        <w:spacing w:before="68" w:line="222" w:lineRule="auto"/>
        <w:ind w:left="1808"/>
        <w:rPr>
          <w:sz w:val="21"/>
          <w:szCs w:val="21"/>
          <w:highlight w:val="none"/>
        </w:rPr>
      </w:pPr>
      <w:r>
        <w:rPr>
          <w:spacing w:val="-2"/>
          <w:sz w:val="21"/>
          <w:szCs w:val="21"/>
          <w:highlight w:val="none"/>
        </w:rPr>
        <w:t>致</w:t>
      </w:r>
      <w:r>
        <w:rPr>
          <w:spacing w:val="46"/>
          <w:sz w:val="21"/>
          <w:szCs w:val="21"/>
          <w:highlight w:val="none"/>
        </w:rPr>
        <w:t xml:space="preserve"> </w:t>
      </w:r>
      <w:r>
        <w:rPr>
          <w:spacing w:val="-2"/>
          <w:sz w:val="21"/>
          <w:szCs w:val="21"/>
          <w:highlight w:val="none"/>
        </w:rPr>
        <w:t>(招标人）:</w:t>
      </w:r>
    </w:p>
    <w:p w14:paraId="7B054DE9">
      <w:pPr>
        <w:pStyle w:val="8"/>
        <w:spacing w:before="156" w:line="359" w:lineRule="auto"/>
        <w:ind w:left="1809" w:right="1802" w:firstLine="420"/>
        <w:jc w:val="both"/>
        <w:rPr>
          <w:sz w:val="21"/>
          <w:szCs w:val="21"/>
          <w:highlight w:val="none"/>
        </w:rPr>
      </w:pPr>
      <w:r>
        <w:rPr>
          <w:sz w:val="21"/>
          <w:szCs w:val="21"/>
          <w:highlight w:val="none"/>
        </w:rPr>
        <w:t>我公司愿意针对</w:t>
      </w:r>
      <w:r>
        <w:rPr>
          <w:sz w:val="21"/>
          <w:szCs w:val="21"/>
          <w:highlight w:val="none"/>
          <w:u w:val="single" w:color="auto"/>
        </w:rPr>
        <w:t xml:space="preserve">                （招</w:t>
      </w:r>
      <w:r>
        <w:rPr>
          <w:spacing w:val="-1"/>
          <w:sz w:val="21"/>
          <w:szCs w:val="21"/>
          <w:highlight w:val="none"/>
          <w:u w:val="single" w:color="auto"/>
        </w:rPr>
        <w:t xml:space="preserve">标项目名称） </w:t>
      </w:r>
      <w:r>
        <w:rPr>
          <w:spacing w:val="-94"/>
          <w:sz w:val="21"/>
          <w:szCs w:val="21"/>
          <w:highlight w:val="none"/>
        </w:rPr>
        <w:t xml:space="preserve"> </w:t>
      </w:r>
      <w:r>
        <w:rPr>
          <w:spacing w:val="-1"/>
          <w:sz w:val="21"/>
          <w:szCs w:val="21"/>
          <w:highlight w:val="none"/>
        </w:rPr>
        <w:t>项目进行投标。投标文件中所有</w:t>
      </w:r>
      <w:r>
        <w:rPr>
          <w:sz w:val="21"/>
          <w:szCs w:val="21"/>
          <w:highlight w:val="none"/>
        </w:rPr>
        <w:t xml:space="preserve"> 关于投标人资格、业绩等的文件、证明、陈述均是真实的、准确的。若有违背</w:t>
      </w:r>
      <w:r>
        <w:rPr>
          <w:spacing w:val="-1"/>
          <w:sz w:val="21"/>
          <w:szCs w:val="21"/>
          <w:highlight w:val="none"/>
        </w:rPr>
        <w:t>，我公</w:t>
      </w:r>
      <w:r>
        <w:rPr>
          <w:rFonts w:hint="eastAsia"/>
          <w:spacing w:val="-1"/>
          <w:sz w:val="21"/>
          <w:szCs w:val="21"/>
          <w:highlight w:val="none"/>
          <w:lang w:eastAsia="zh-CN"/>
        </w:rPr>
        <w:t>司将</w:t>
      </w:r>
      <w:r>
        <w:rPr>
          <w:spacing w:val="-1"/>
          <w:sz w:val="21"/>
          <w:szCs w:val="21"/>
          <w:highlight w:val="none"/>
        </w:rPr>
        <w:t>承担由此而产生的一切后果。</w:t>
      </w:r>
    </w:p>
    <w:p w14:paraId="45A7DDE5">
      <w:pPr>
        <w:pStyle w:val="8"/>
        <w:spacing w:before="1" w:line="358" w:lineRule="auto"/>
        <w:ind w:left="1809" w:right="1903" w:firstLine="420"/>
        <w:rPr>
          <w:sz w:val="21"/>
          <w:szCs w:val="21"/>
          <w:highlight w:val="none"/>
        </w:rPr>
      </w:pPr>
      <w:r>
        <w:rPr>
          <w:sz w:val="21"/>
          <w:szCs w:val="21"/>
          <w:highlight w:val="none"/>
        </w:rPr>
        <w:t>我公司承诺没有处于被责令停业，财产被接管、冻结及破产状态，最近三</w:t>
      </w:r>
      <w:r>
        <w:rPr>
          <w:spacing w:val="-1"/>
          <w:sz w:val="21"/>
          <w:szCs w:val="21"/>
          <w:highlight w:val="none"/>
        </w:rPr>
        <w:t>年内没有发</w:t>
      </w:r>
      <w:r>
        <w:rPr>
          <w:sz w:val="21"/>
          <w:szCs w:val="21"/>
          <w:highlight w:val="none"/>
        </w:rPr>
        <w:t xml:space="preserve"> </w:t>
      </w:r>
      <w:r>
        <w:rPr>
          <w:spacing w:val="-2"/>
          <w:sz w:val="21"/>
          <w:szCs w:val="21"/>
          <w:highlight w:val="none"/>
        </w:rPr>
        <w:t>生骗取中标、严重违约等不良行为。</w:t>
      </w:r>
    </w:p>
    <w:p w14:paraId="54D36865">
      <w:pPr>
        <w:pStyle w:val="8"/>
        <w:spacing w:line="221" w:lineRule="auto"/>
        <w:ind w:left="2227"/>
        <w:rPr>
          <w:sz w:val="21"/>
          <w:szCs w:val="21"/>
          <w:highlight w:val="none"/>
        </w:rPr>
      </w:pPr>
      <w:r>
        <w:rPr>
          <w:spacing w:val="-4"/>
          <w:sz w:val="21"/>
          <w:szCs w:val="21"/>
          <w:highlight w:val="none"/>
        </w:rPr>
        <w:t>特此声明！</w:t>
      </w:r>
    </w:p>
    <w:p w14:paraId="0ADE3B73">
      <w:pPr>
        <w:spacing w:line="291" w:lineRule="auto"/>
        <w:rPr>
          <w:rFonts w:ascii="Arial"/>
          <w:sz w:val="21"/>
          <w:highlight w:val="none"/>
        </w:rPr>
      </w:pPr>
    </w:p>
    <w:p w14:paraId="35E0D567">
      <w:pPr>
        <w:spacing w:line="292" w:lineRule="auto"/>
        <w:rPr>
          <w:rFonts w:ascii="Arial"/>
          <w:sz w:val="21"/>
          <w:highlight w:val="none"/>
        </w:rPr>
      </w:pPr>
    </w:p>
    <w:p w14:paraId="28216EF7">
      <w:pPr>
        <w:spacing w:line="292" w:lineRule="auto"/>
        <w:rPr>
          <w:rFonts w:ascii="Arial"/>
          <w:sz w:val="21"/>
          <w:highlight w:val="none"/>
        </w:rPr>
      </w:pPr>
    </w:p>
    <w:p w14:paraId="10270D85">
      <w:pPr>
        <w:spacing w:line="292" w:lineRule="auto"/>
        <w:rPr>
          <w:rFonts w:ascii="Arial"/>
          <w:sz w:val="21"/>
          <w:highlight w:val="none"/>
        </w:rPr>
      </w:pPr>
    </w:p>
    <w:p w14:paraId="18781E7C">
      <w:pPr>
        <w:pStyle w:val="8"/>
        <w:spacing w:before="69" w:line="221" w:lineRule="auto"/>
        <w:ind w:left="5278"/>
        <w:rPr>
          <w:sz w:val="21"/>
          <w:szCs w:val="21"/>
          <w:highlight w:val="none"/>
        </w:rPr>
      </w:pPr>
      <w:r>
        <w:rPr>
          <w:spacing w:val="-7"/>
          <w:sz w:val="21"/>
          <w:szCs w:val="21"/>
          <w:highlight w:val="none"/>
        </w:rPr>
        <w:t>投标人</w:t>
      </w:r>
      <w:r>
        <w:rPr>
          <w:spacing w:val="-7"/>
          <w:sz w:val="21"/>
          <w:szCs w:val="21"/>
          <w:highlight w:val="none"/>
        </w:rPr>
        <w:t xml:space="preserve">名称： </w:t>
      </w:r>
      <w:r>
        <w:rPr>
          <w:spacing w:val="-7"/>
          <w:sz w:val="21"/>
          <w:szCs w:val="21"/>
          <w:highlight w:val="none"/>
          <w:u w:val="single" w:color="auto"/>
        </w:rPr>
        <w:t xml:space="preserve">                         </w:t>
      </w:r>
      <w:r>
        <w:rPr>
          <w:spacing w:val="-47"/>
          <w:sz w:val="21"/>
          <w:szCs w:val="21"/>
          <w:highlight w:val="none"/>
        </w:rPr>
        <w:t xml:space="preserve"> </w:t>
      </w:r>
      <w:r>
        <w:rPr>
          <w:spacing w:val="-7"/>
          <w:sz w:val="21"/>
          <w:szCs w:val="21"/>
          <w:highlight w:val="none"/>
        </w:rPr>
        <w:t>(盖单位章)</w:t>
      </w:r>
    </w:p>
    <w:p w14:paraId="244F8FD4">
      <w:pPr>
        <w:spacing w:line="248" w:lineRule="auto"/>
        <w:rPr>
          <w:rFonts w:ascii="Arial"/>
          <w:sz w:val="21"/>
          <w:highlight w:val="none"/>
        </w:rPr>
      </w:pPr>
    </w:p>
    <w:p w14:paraId="4576155D">
      <w:pPr>
        <w:spacing w:line="248" w:lineRule="auto"/>
        <w:rPr>
          <w:rFonts w:ascii="Arial"/>
          <w:sz w:val="21"/>
          <w:highlight w:val="none"/>
        </w:rPr>
      </w:pPr>
    </w:p>
    <w:p w14:paraId="79DA2028">
      <w:pPr>
        <w:pStyle w:val="8"/>
        <w:spacing w:before="69" w:line="221" w:lineRule="auto"/>
        <w:ind w:left="7304"/>
        <w:rPr>
          <w:sz w:val="21"/>
          <w:szCs w:val="21"/>
          <w:highlight w:val="none"/>
        </w:rPr>
      </w:pPr>
      <w:r>
        <w:rPr>
          <w:spacing w:val="-10"/>
          <w:sz w:val="21"/>
          <w:szCs w:val="21"/>
          <w:highlight w:val="none"/>
        </w:rPr>
        <w:t>日期：</w:t>
      </w:r>
      <w:r>
        <w:rPr>
          <w:spacing w:val="11"/>
          <w:sz w:val="21"/>
          <w:szCs w:val="21"/>
          <w:highlight w:val="none"/>
          <w:u w:val="single" w:color="auto"/>
        </w:rPr>
        <w:t xml:space="preserve">       </w:t>
      </w:r>
      <w:r>
        <w:rPr>
          <w:spacing w:val="-93"/>
          <w:sz w:val="21"/>
          <w:szCs w:val="21"/>
          <w:highlight w:val="none"/>
        </w:rPr>
        <w:t xml:space="preserve"> </w:t>
      </w:r>
      <w:r>
        <w:rPr>
          <w:spacing w:val="-10"/>
          <w:sz w:val="21"/>
          <w:szCs w:val="21"/>
          <w:highlight w:val="none"/>
        </w:rPr>
        <w:t>年</w:t>
      </w:r>
      <w:r>
        <w:rPr>
          <w:spacing w:val="-10"/>
          <w:sz w:val="21"/>
          <w:szCs w:val="21"/>
          <w:highlight w:val="none"/>
          <w:u w:val="single" w:color="auto"/>
        </w:rPr>
        <w:t xml:space="preserve">    </w:t>
      </w:r>
      <w:r>
        <w:rPr>
          <w:spacing w:val="-92"/>
          <w:sz w:val="21"/>
          <w:szCs w:val="21"/>
          <w:highlight w:val="none"/>
        </w:rPr>
        <w:t xml:space="preserve"> </w:t>
      </w:r>
      <w:r>
        <w:rPr>
          <w:spacing w:val="-10"/>
          <w:sz w:val="21"/>
          <w:szCs w:val="21"/>
          <w:highlight w:val="none"/>
        </w:rPr>
        <w:t>月</w:t>
      </w:r>
      <w:r>
        <w:rPr>
          <w:spacing w:val="-10"/>
          <w:sz w:val="21"/>
          <w:szCs w:val="21"/>
          <w:highlight w:val="none"/>
          <w:u w:val="single" w:color="auto"/>
        </w:rPr>
        <w:t xml:space="preserve">    </w:t>
      </w:r>
      <w:r>
        <w:rPr>
          <w:spacing w:val="-61"/>
          <w:sz w:val="21"/>
          <w:szCs w:val="21"/>
          <w:highlight w:val="none"/>
        </w:rPr>
        <w:t xml:space="preserve"> </w:t>
      </w:r>
      <w:r>
        <w:rPr>
          <w:spacing w:val="-10"/>
          <w:sz w:val="21"/>
          <w:szCs w:val="21"/>
          <w:highlight w:val="none"/>
        </w:rPr>
        <w:t>日</w:t>
      </w:r>
    </w:p>
    <w:p w14:paraId="356CE580">
      <w:pPr>
        <w:spacing w:line="221" w:lineRule="auto"/>
        <w:rPr>
          <w:sz w:val="21"/>
          <w:szCs w:val="21"/>
          <w:highlight w:val="none"/>
        </w:rPr>
        <w:sectPr>
          <w:footerReference r:id="rId14" w:type="default"/>
          <w:pgSz w:w="11900" w:h="16841"/>
          <w:pgMar w:top="400" w:right="0" w:bottom="1292" w:left="0" w:header="0" w:footer="1057" w:gutter="0"/>
          <w:pgNumType w:fmt="decimal"/>
          <w:cols w:space="720" w:num="1"/>
        </w:sectPr>
      </w:pPr>
    </w:p>
    <w:p w14:paraId="26CB7E19">
      <w:pPr>
        <w:spacing w:line="244" w:lineRule="auto"/>
        <w:rPr>
          <w:rFonts w:ascii="Arial"/>
          <w:sz w:val="21"/>
          <w:highlight w:val="none"/>
        </w:rPr>
      </w:pPr>
    </w:p>
    <w:p w14:paraId="502DFD7A">
      <w:pPr>
        <w:spacing w:line="244" w:lineRule="auto"/>
        <w:rPr>
          <w:rFonts w:ascii="Arial"/>
          <w:sz w:val="21"/>
          <w:highlight w:val="none"/>
        </w:rPr>
      </w:pPr>
    </w:p>
    <w:p w14:paraId="1C573E00">
      <w:pPr>
        <w:spacing w:before="101" w:line="228" w:lineRule="auto"/>
        <w:rPr>
          <w:rFonts w:ascii="黑体" w:hAnsi="黑体" w:eastAsia="黑体" w:cs="黑体"/>
          <w:b/>
          <w:bCs/>
          <w:spacing w:val="5"/>
          <w:sz w:val="31"/>
          <w:szCs w:val="31"/>
          <w:highlight w:val="none"/>
        </w:rPr>
      </w:pPr>
    </w:p>
    <w:p w14:paraId="445D4E02">
      <w:pPr>
        <w:spacing w:before="101" w:line="228" w:lineRule="auto"/>
        <w:ind w:left="4521"/>
        <w:rPr>
          <w:rFonts w:ascii="黑体" w:hAnsi="黑体" w:eastAsia="黑体" w:cs="黑体"/>
          <w:sz w:val="31"/>
          <w:szCs w:val="31"/>
          <w:highlight w:val="none"/>
        </w:rPr>
      </w:pPr>
      <w:r>
        <w:rPr>
          <w:rFonts w:hint="eastAsia" w:ascii="黑体" w:hAnsi="黑体" w:eastAsia="黑体" w:cs="黑体"/>
          <w:b/>
          <w:bCs/>
          <w:spacing w:val="5"/>
          <w:sz w:val="31"/>
          <w:szCs w:val="31"/>
          <w:highlight w:val="none"/>
          <w:lang w:val="en-US" w:eastAsia="zh-CN"/>
        </w:rPr>
        <w:t>12.</w:t>
      </w:r>
      <w:r>
        <w:rPr>
          <w:rFonts w:ascii="黑体" w:hAnsi="黑体" w:eastAsia="黑体" w:cs="黑体"/>
          <w:b/>
          <w:bCs/>
          <w:spacing w:val="5"/>
          <w:sz w:val="31"/>
          <w:szCs w:val="31"/>
          <w:highlight w:val="none"/>
        </w:rPr>
        <w:t>投标业绩情况表</w:t>
      </w:r>
    </w:p>
    <w:p w14:paraId="603EC0B0">
      <w:pPr>
        <w:spacing w:before="25" w:line="221" w:lineRule="auto"/>
        <w:ind w:left="4628"/>
        <w:rPr>
          <w:rFonts w:ascii="黑体" w:hAnsi="黑体" w:eastAsia="黑体" w:cs="黑体"/>
          <w:sz w:val="28"/>
          <w:szCs w:val="28"/>
          <w:highlight w:val="none"/>
        </w:rPr>
      </w:pPr>
      <w:r>
        <w:rPr>
          <w:rFonts w:hint="eastAsia" w:ascii="黑体" w:hAnsi="黑体" w:eastAsia="黑体" w:cs="黑体"/>
          <w:spacing w:val="-11"/>
          <w:sz w:val="28"/>
          <w:szCs w:val="28"/>
          <w:highlight w:val="none"/>
          <w:lang w:eastAsia="zh-CN"/>
        </w:rPr>
        <w:t>（</w:t>
      </w:r>
      <w:r>
        <w:rPr>
          <w:rFonts w:hint="eastAsia" w:ascii="黑体" w:hAnsi="黑体" w:eastAsia="黑体" w:cs="黑体"/>
          <w:spacing w:val="-11"/>
          <w:sz w:val="28"/>
          <w:szCs w:val="28"/>
          <w:highlight w:val="none"/>
          <w:lang w:val="en-US" w:eastAsia="zh-CN"/>
        </w:rPr>
        <w:t>1</w:t>
      </w:r>
      <w:r>
        <w:rPr>
          <w:rFonts w:hint="eastAsia" w:ascii="黑体" w:hAnsi="黑体" w:eastAsia="黑体" w:cs="黑体"/>
          <w:spacing w:val="-11"/>
          <w:sz w:val="28"/>
          <w:szCs w:val="28"/>
          <w:highlight w:val="none"/>
          <w:lang w:eastAsia="zh-CN"/>
        </w:rPr>
        <w:t>）</w:t>
      </w:r>
      <w:r>
        <w:rPr>
          <w:rFonts w:ascii="黑体" w:hAnsi="黑体" w:eastAsia="黑体" w:cs="黑体"/>
          <w:spacing w:val="-11"/>
          <w:sz w:val="28"/>
          <w:szCs w:val="28"/>
          <w:highlight w:val="none"/>
        </w:rPr>
        <w:t>同类项目业绩汇总表</w:t>
      </w:r>
    </w:p>
    <w:p w14:paraId="726421D5">
      <w:pPr>
        <w:spacing w:line="171" w:lineRule="exact"/>
        <w:rPr>
          <w:highlight w:val="none"/>
        </w:rPr>
      </w:pPr>
    </w:p>
    <w:tbl>
      <w:tblPr>
        <w:tblStyle w:val="22"/>
        <w:tblW w:w="9354" w:type="dxa"/>
        <w:tblInd w:w="1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861"/>
        <w:gridCol w:w="863"/>
        <w:gridCol w:w="861"/>
        <w:gridCol w:w="864"/>
        <w:gridCol w:w="861"/>
        <w:gridCol w:w="878"/>
        <w:gridCol w:w="1135"/>
        <w:gridCol w:w="988"/>
        <w:gridCol w:w="1175"/>
      </w:tblGrid>
      <w:tr w14:paraId="13F65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868" w:type="dxa"/>
            <w:vAlign w:val="top"/>
          </w:tcPr>
          <w:p w14:paraId="6C8C79E7">
            <w:pPr>
              <w:spacing w:line="371" w:lineRule="auto"/>
              <w:rPr>
                <w:rFonts w:ascii="Arial"/>
                <w:sz w:val="21"/>
                <w:highlight w:val="none"/>
              </w:rPr>
            </w:pPr>
          </w:p>
          <w:p w14:paraId="21510511">
            <w:pPr>
              <w:pStyle w:val="23"/>
              <w:spacing w:before="68" w:line="223" w:lineRule="auto"/>
              <w:ind w:left="227"/>
              <w:rPr>
                <w:highlight w:val="none"/>
              </w:rPr>
            </w:pPr>
            <w:r>
              <w:rPr>
                <w:spacing w:val="-2"/>
                <w:highlight w:val="none"/>
              </w:rPr>
              <w:t>序号</w:t>
            </w:r>
          </w:p>
        </w:tc>
        <w:tc>
          <w:tcPr>
            <w:tcW w:w="861" w:type="dxa"/>
            <w:vAlign w:val="top"/>
          </w:tcPr>
          <w:p w14:paraId="2DA2F39F">
            <w:pPr>
              <w:pStyle w:val="23"/>
              <w:spacing w:before="34" w:line="223" w:lineRule="auto"/>
              <w:ind w:left="122"/>
              <w:rPr>
                <w:highlight w:val="none"/>
              </w:rPr>
            </w:pPr>
            <w:r>
              <w:rPr>
                <w:spacing w:val="-2"/>
                <w:highlight w:val="none"/>
              </w:rPr>
              <w:t>设备名</w:t>
            </w:r>
          </w:p>
          <w:p w14:paraId="397C5108">
            <w:pPr>
              <w:pStyle w:val="23"/>
              <w:spacing w:before="155" w:line="223" w:lineRule="auto"/>
              <w:ind w:left="171"/>
              <w:rPr>
                <w:highlight w:val="none"/>
              </w:rPr>
            </w:pPr>
            <w:r>
              <w:rPr>
                <w:spacing w:val="-2"/>
                <w:highlight w:val="none"/>
              </w:rPr>
              <w:t>称/规</w:t>
            </w:r>
          </w:p>
          <w:p w14:paraId="32D24CDC">
            <w:pPr>
              <w:pStyle w:val="23"/>
              <w:spacing w:before="154" w:line="221" w:lineRule="auto"/>
              <w:ind w:left="119"/>
              <w:rPr>
                <w:highlight w:val="none"/>
              </w:rPr>
            </w:pPr>
            <w:r>
              <w:rPr>
                <w:spacing w:val="-2"/>
                <w:highlight w:val="none"/>
              </w:rPr>
              <w:t>格型号</w:t>
            </w:r>
          </w:p>
        </w:tc>
        <w:tc>
          <w:tcPr>
            <w:tcW w:w="863" w:type="dxa"/>
            <w:vAlign w:val="top"/>
          </w:tcPr>
          <w:p w14:paraId="1DB9209F">
            <w:pPr>
              <w:pStyle w:val="23"/>
              <w:spacing w:before="238" w:line="361" w:lineRule="auto"/>
              <w:ind w:left="226" w:right="112" w:hanging="105"/>
              <w:rPr>
                <w:highlight w:val="none"/>
              </w:rPr>
            </w:pPr>
            <w:r>
              <w:rPr>
                <w:spacing w:val="-3"/>
                <w:highlight w:val="none"/>
              </w:rPr>
              <w:t>数量及</w:t>
            </w:r>
            <w:r>
              <w:rPr>
                <w:spacing w:val="1"/>
                <w:highlight w:val="none"/>
              </w:rPr>
              <w:t xml:space="preserve"> </w:t>
            </w:r>
            <w:r>
              <w:rPr>
                <w:spacing w:val="-2"/>
                <w:highlight w:val="none"/>
              </w:rPr>
              <w:t>单位</w:t>
            </w:r>
          </w:p>
        </w:tc>
        <w:tc>
          <w:tcPr>
            <w:tcW w:w="861" w:type="dxa"/>
            <w:vAlign w:val="top"/>
          </w:tcPr>
          <w:p w14:paraId="60F74D67">
            <w:pPr>
              <w:pStyle w:val="23"/>
              <w:spacing w:before="238" w:line="222" w:lineRule="auto"/>
              <w:ind w:left="234"/>
              <w:rPr>
                <w:highlight w:val="none"/>
              </w:rPr>
            </w:pPr>
            <w:r>
              <w:rPr>
                <w:spacing w:val="-4"/>
                <w:highlight w:val="none"/>
              </w:rPr>
              <w:t>买方</w:t>
            </w:r>
          </w:p>
          <w:p w14:paraId="18FC1584">
            <w:pPr>
              <w:pStyle w:val="23"/>
              <w:spacing w:before="156" w:line="223" w:lineRule="auto"/>
              <w:ind w:left="228"/>
              <w:rPr>
                <w:highlight w:val="none"/>
              </w:rPr>
            </w:pPr>
            <w:r>
              <w:rPr>
                <w:spacing w:val="-3"/>
                <w:highlight w:val="none"/>
              </w:rPr>
              <w:t>名称</w:t>
            </w:r>
          </w:p>
        </w:tc>
        <w:tc>
          <w:tcPr>
            <w:tcW w:w="864" w:type="dxa"/>
            <w:vAlign w:val="top"/>
          </w:tcPr>
          <w:p w14:paraId="01854895">
            <w:pPr>
              <w:pStyle w:val="23"/>
              <w:spacing w:before="238" w:line="222" w:lineRule="auto"/>
              <w:ind w:left="230"/>
              <w:rPr>
                <w:highlight w:val="none"/>
              </w:rPr>
            </w:pPr>
            <w:r>
              <w:rPr>
                <w:spacing w:val="-3"/>
                <w:highlight w:val="none"/>
              </w:rPr>
              <w:t>项目</w:t>
            </w:r>
          </w:p>
          <w:p w14:paraId="3851A9D3">
            <w:pPr>
              <w:pStyle w:val="23"/>
              <w:spacing w:before="156" w:line="223" w:lineRule="auto"/>
              <w:ind w:left="229"/>
              <w:rPr>
                <w:highlight w:val="none"/>
              </w:rPr>
            </w:pPr>
            <w:r>
              <w:rPr>
                <w:spacing w:val="-3"/>
                <w:highlight w:val="none"/>
              </w:rPr>
              <w:t>名称</w:t>
            </w:r>
          </w:p>
        </w:tc>
        <w:tc>
          <w:tcPr>
            <w:tcW w:w="861" w:type="dxa"/>
            <w:vAlign w:val="top"/>
          </w:tcPr>
          <w:p w14:paraId="62A7F077">
            <w:pPr>
              <w:pStyle w:val="23"/>
              <w:spacing w:before="238" w:line="223" w:lineRule="auto"/>
              <w:ind w:left="228"/>
              <w:rPr>
                <w:highlight w:val="none"/>
              </w:rPr>
            </w:pPr>
            <w:r>
              <w:rPr>
                <w:spacing w:val="-2"/>
                <w:highlight w:val="none"/>
              </w:rPr>
              <w:t>合同</w:t>
            </w:r>
          </w:p>
          <w:p w14:paraId="608BC0AA">
            <w:pPr>
              <w:pStyle w:val="23"/>
              <w:spacing w:before="153" w:line="220" w:lineRule="auto"/>
              <w:ind w:left="228"/>
              <w:rPr>
                <w:highlight w:val="none"/>
              </w:rPr>
            </w:pPr>
            <w:r>
              <w:rPr>
                <w:spacing w:val="-2"/>
                <w:highlight w:val="none"/>
              </w:rPr>
              <w:t>价格</w:t>
            </w:r>
          </w:p>
        </w:tc>
        <w:tc>
          <w:tcPr>
            <w:tcW w:w="878" w:type="dxa"/>
            <w:vAlign w:val="top"/>
          </w:tcPr>
          <w:p w14:paraId="6C5A207C">
            <w:pPr>
              <w:pStyle w:val="23"/>
              <w:spacing w:before="238" w:line="223" w:lineRule="auto"/>
              <w:ind w:left="130"/>
              <w:rPr>
                <w:highlight w:val="none"/>
              </w:rPr>
            </w:pPr>
            <w:r>
              <w:rPr>
                <w:spacing w:val="-2"/>
                <w:highlight w:val="none"/>
              </w:rPr>
              <w:t>合同签</w:t>
            </w:r>
          </w:p>
          <w:p w14:paraId="0E28305D">
            <w:pPr>
              <w:pStyle w:val="23"/>
              <w:spacing w:before="154" w:line="223" w:lineRule="auto"/>
              <w:ind w:left="131"/>
              <w:rPr>
                <w:highlight w:val="none"/>
              </w:rPr>
            </w:pPr>
            <w:r>
              <w:rPr>
                <w:spacing w:val="-2"/>
                <w:highlight w:val="none"/>
              </w:rPr>
              <w:t>订时间</w:t>
            </w:r>
          </w:p>
        </w:tc>
        <w:tc>
          <w:tcPr>
            <w:tcW w:w="1135" w:type="dxa"/>
            <w:vAlign w:val="top"/>
          </w:tcPr>
          <w:p w14:paraId="54D14EBC">
            <w:pPr>
              <w:spacing w:line="371" w:lineRule="auto"/>
              <w:rPr>
                <w:rFonts w:ascii="Arial"/>
                <w:sz w:val="21"/>
                <w:highlight w:val="none"/>
              </w:rPr>
            </w:pPr>
          </w:p>
          <w:p w14:paraId="46C8A8D7">
            <w:pPr>
              <w:pStyle w:val="23"/>
              <w:spacing w:before="68" w:line="221" w:lineRule="auto"/>
              <w:ind w:left="259"/>
              <w:rPr>
                <w:highlight w:val="none"/>
              </w:rPr>
            </w:pPr>
            <w:r>
              <w:rPr>
                <w:spacing w:val="-2"/>
                <w:highlight w:val="none"/>
              </w:rPr>
              <w:t>供货期</w:t>
            </w:r>
          </w:p>
        </w:tc>
        <w:tc>
          <w:tcPr>
            <w:tcW w:w="988" w:type="dxa"/>
            <w:vAlign w:val="top"/>
          </w:tcPr>
          <w:p w14:paraId="6C52E4D6">
            <w:pPr>
              <w:pStyle w:val="23"/>
              <w:spacing w:before="238" w:line="223" w:lineRule="auto"/>
              <w:ind w:left="291"/>
              <w:rPr>
                <w:highlight w:val="none"/>
              </w:rPr>
            </w:pPr>
            <w:r>
              <w:rPr>
                <w:spacing w:val="-2"/>
                <w:highlight w:val="none"/>
              </w:rPr>
              <w:t>合同</w:t>
            </w:r>
          </w:p>
          <w:p w14:paraId="1D9D0306">
            <w:pPr>
              <w:pStyle w:val="23"/>
              <w:spacing w:before="154" w:line="221" w:lineRule="auto"/>
              <w:ind w:left="290"/>
              <w:rPr>
                <w:highlight w:val="none"/>
              </w:rPr>
            </w:pPr>
            <w:r>
              <w:rPr>
                <w:spacing w:val="-2"/>
                <w:highlight w:val="none"/>
              </w:rPr>
              <w:t>状态</w:t>
            </w:r>
          </w:p>
        </w:tc>
        <w:tc>
          <w:tcPr>
            <w:tcW w:w="1175" w:type="dxa"/>
            <w:vAlign w:val="top"/>
          </w:tcPr>
          <w:p w14:paraId="062B8F9C">
            <w:pPr>
              <w:spacing w:line="371" w:lineRule="auto"/>
              <w:rPr>
                <w:rFonts w:ascii="Arial"/>
                <w:sz w:val="21"/>
                <w:highlight w:val="none"/>
              </w:rPr>
            </w:pPr>
          </w:p>
          <w:p w14:paraId="3BFA7D96">
            <w:pPr>
              <w:pStyle w:val="23"/>
              <w:spacing w:before="68" w:line="223" w:lineRule="auto"/>
              <w:ind w:left="385"/>
              <w:rPr>
                <w:highlight w:val="none"/>
              </w:rPr>
            </w:pPr>
            <w:r>
              <w:rPr>
                <w:spacing w:val="-3"/>
                <w:highlight w:val="none"/>
              </w:rPr>
              <w:t>备注</w:t>
            </w:r>
          </w:p>
        </w:tc>
      </w:tr>
      <w:tr w14:paraId="0F257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68" w:type="dxa"/>
            <w:vAlign w:val="top"/>
          </w:tcPr>
          <w:p w14:paraId="027A25B2">
            <w:pPr>
              <w:rPr>
                <w:rFonts w:ascii="Arial"/>
                <w:sz w:val="21"/>
                <w:highlight w:val="none"/>
              </w:rPr>
            </w:pPr>
          </w:p>
        </w:tc>
        <w:tc>
          <w:tcPr>
            <w:tcW w:w="861" w:type="dxa"/>
            <w:vAlign w:val="top"/>
          </w:tcPr>
          <w:p w14:paraId="0C322165">
            <w:pPr>
              <w:rPr>
                <w:rFonts w:ascii="Arial"/>
                <w:sz w:val="21"/>
                <w:highlight w:val="none"/>
              </w:rPr>
            </w:pPr>
          </w:p>
        </w:tc>
        <w:tc>
          <w:tcPr>
            <w:tcW w:w="863" w:type="dxa"/>
            <w:vAlign w:val="top"/>
          </w:tcPr>
          <w:p w14:paraId="335AF248">
            <w:pPr>
              <w:rPr>
                <w:rFonts w:ascii="Arial"/>
                <w:sz w:val="21"/>
                <w:highlight w:val="none"/>
              </w:rPr>
            </w:pPr>
          </w:p>
        </w:tc>
        <w:tc>
          <w:tcPr>
            <w:tcW w:w="861" w:type="dxa"/>
            <w:vAlign w:val="top"/>
          </w:tcPr>
          <w:p w14:paraId="15F79AAF">
            <w:pPr>
              <w:rPr>
                <w:rFonts w:ascii="Arial"/>
                <w:sz w:val="21"/>
                <w:highlight w:val="none"/>
              </w:rPr>
            </w:pPr>
          </w:p>
        </w:tc>
        <w:tc>
          <w:tcPr>
            <w:tcW w:w="864" w:type="dxa"/>
            <w:vAlign w:val="top"/>
          </w:tcPr>
          <w:p w14:paraId="09710094">
            <w:pPr>
              <w:rPr>
                <w:rFonts w:ascii="Arial"/>
                <w:sz w:val="21"/>
                <w:highlight w:val="none"/>
              </w:rPr>
            </w:pPr>
          </w:p>
        </w:tc>
        <w:tc>
          <w:tcPr>
            <w:tcW w:w="861" w:type="dxa"/>
            <w:vAlign w:val="top"/>
          </w:tcPr>
          <w:p w14:paraId="37516972">
            <w:pPr>
              <w:rPr>
                <w:rFonts w:ascii="Arial"/>
                <w:sz w:val="21"/>
                <w:highlight w:val="none"/>
              </w:rPr>
            </w:pPr>
          </w:p>
        </w:tc>
        <w:tc>
          <w:tcPr>
            <w:tcW w:w="878" w:type="dxa"/>
            <w:vAlign w:val="top"/>
          </w:tcPr>
          <w:p w14:paraId="180FF9F9">
            <w:pPr>
              <w:rPr>
                <w:rFonts w:ascii="Arial"/>
                <w:sz w:val="21"/>
                <w:highlight w:val="none"/>
              </w:rPr>
            </w:pPr>
          </w:p>
        </w:tc>
        <w:tc>
          <w:tcPr>
            <w:tcW w:w="1135" w:type="dxa"/>
            <w:vAlign w:val="top"/>
          </w:tcPr>
          <w:p w14:paraId="39C084A3">
            <w:pPr>
              <w:rPr>
                <w:rFonts w:ascii="Arial"/>
                <w:sz w:val="21"/>
                <w:highlight w:val="none"/>
              </w:rPr>
            </w:pPr>
          </w:p>
        </w:tc>
        <w:tc>
          <w:tcPr>
            <w:tcW w:w="988" w:type="dxa"/>
            <w:vAlign w:val="top"/>
          </w:tcPr>
          <w:p w14:paraId="257A7E16">
            <w:pPr>
              <w:rPr>
                <w:rFonts w:ascii="Arial"/>
                <w:sz w:val="21"/>
                <w:highlight w:val="none"/>
              </w:rPr>
            </w:pPr>
          </w:p>
        </w:tc>
        <w:tc>
          <w:tcPr>
            <w:tcW w:w="1175" w:type="dxa"/>
            <w:vAlign w:val="top"/>
          </w:tcPr>
          <w:p w14:paraId="4F098583">
            <w:pPr>
              <w:rPr>
                <w:rFonts w:ascii="Arial"/>
                <w:sz w:val="21"/>
                <w:highlight w:val="none"/>
              </w:rPr>
            </w:pPr>
          </w:p>
        </w:tc>
      </w:tr>
      <w:tr w14:paraId="5394C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68" w:type="dxa"/>
            <w:vAlign w:val="top"/>
          </w:tcPr>
          <w:p w14:paraId="51BEBD22">
            <w:pPr>
              <w:rPr>
                <w:rFonts w:ascii="Arial"/>
                <w:sz w:val="21"/>
                <w:highlight w:val="none"/>
              </w:rPr>
            </w:pPr>
          </w:p>
        </w:tc>
        <w:tc>
          <w:tcPr>
            <w:tcW w:w="861" w:type="dxa"/>
            <w:vAlign w:val="top"/>
          </w:tcPr>
          <w:p w14:paraId="34B1AD26">
            <w:pPr>
              <w:rPr>
                <w:rFonts w:ascii="Arial"/>
                <w:sz w:val="21"/>
                <w:highlight w:val="none"/>
              </w:rPr>
            </w:pPr>
          </w:p>
        </w:tc>
        <w:tc>
          <w:tcPr>
            <w:tcW w:w="863" w:type="dxa"/>
            <w:vAlign w:val="top"/>
          </w:tcPr>
          <w:p w14:paraId="47F98626">
            <w:pPr>
              <w:rPr>
                <w:rFonts w:ascii="Arial"/>
                <w:sz w:val="21"/>
                <w:highlight w:val="none"/>
              </w:rPr>
            </w:pPr>
          </w:p>
        </w:tc>
        <w:tc>
          <w:tcPr>
            <w:tcW w:w="861" w:type="dxa"/>
            <w:vAlign w:val="top"/>
          </w:tcPr>
          <w:p w14:paraId="0592349B">
            <w:pPr>
              <w:rPr>
                <w:rFonts w:ascii="Arial"/>
                <w:sz w:val="21"/>
                <w:highlight w:val="none"/>
              </w:rPr>
            </w:pPr>
          </w:p>
        </w:tc>
        <w:tc>
          <w:tcPr>
            <w:tcW w:w="864" w:type="dxa"/>
            <w:vAlign w:val="top"/>
          </w:tcPr>
          <w:p w14:paraId="2C7DADB1">
            <w:pPr>
              <w:rPr>
                <w:rFonts w:ascii="Arial"/>
                <w:sz w:val="21"/>
                <w:highlight w:val="none"/>
              </w:rPr>
            </w:pPr>
          </w:p>
        </w:tc>
        <w:tc>
          <w:tcPr>
            <w:tcW w:w="861" w:type="dxa"/>
            <w:vAlign w:val="top"/>
          </w:tcPr>
          <w:p w14:paraId="3AFDA960">
            <w:pPr>
              <w:rPr>
                <w:rFonts w:ascii="Arial"/>
                <w:sz w:val="21"/>
                <w:highlight w:val="none"/>
              </w:rPr>
            </w:pPr>
          </w:p>
        </w:tc>
        <w:tc>
          <w:tcPr>
            <w:tcW w:w="878" w:type="dxa"/>
            <w:vAlign w:val="top"/>
          </w:tcPr>
          <w:p w14:paraId="64F537BD">
            <w:pPr>
              <w:rPr>
                <w:rFonts w:ascii="Arial"/>
                <w:sz w:val="21"/>
                <w:highlight w:val="none"/>
              </w:rPr>
            </w:pPr>
          </w:p>
        </w:tc>
        <w:tc>
          <w:tcPr>
            <w:tcW w:w="1135" w:type="dxa"/>
            <w:vAlign w:val="top"/>
          </w:tcPr>
          <w:p w14:paraId="08B20CF0">
            <w:pPr>
              <w:rPr>
                <w:rFonts w:ascii="Arial"/>
                <w:sz w:val="21"/>
                <w:highlight w:val="none"/>
              </w:rPr>
            </w:pPr>
          </w:p>
        </w:tc>
        <w:tc>
          <w:tcPr>
            <w:tcW w:w="988" w:type="dxa"/>
            <w:vAlign w:val="top"/>
          </w:tcPr>
          <w:p w14:paraId="044EF720">
            <w:pPr>
              <w:rPr>
                <w:rFonts w:ascii="Arial"/>
                <w:sz w:val="21"/>
                <w:highlight w:val="none"/>
              </w:rPr>
            </w:pPr>
          </w:p>
        </w:tc>
        <w:tc>
          <w:tcPr>
            <w:tcW w:w="1175" w:type="dxa"/>
            <w:vAlign w:val="top"/>
          </w:tcPr>
          <w:p w14:paraId="4016B6EF">
            <w:pPr>
              <w:rPr>
                <w:rFonts w:ascii="Arial"/>
                <w:sz w:val="21"/>
                <w:highlight w:val="none"/>
              </w:rPr>
            </w:pPr>
          </w:p>
        </w:tc>
      </w:tr>
      <w:tr w14:paraId="6F61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68" w:type="dxa"/>
            <w:vAlign w:val="top"/>
          </w:tcPr>
          <w:p w14:paraId="69D65915">
            <w:pPr>
              <w:rPr>
                <w:rFonts w:ascii="Arial"/>
                <w:sz w:val="21"/>
                <w:highlight w:val="none"/>
              </w:rPr>
            </w:pPr>
          </w:p>
        </w:tc>
        <w:tc>
          <w:tcPr>
            <w:tcW w:w="861" w:type="dxa"/>
            <w:vAlign w:val="top"/>
          </w:tcPr>
          <w:p w14:paraId="6B869557">
            <w:pPr>
              <w:rPr>
                <w:rFonts w:ascii="Arial"/>
                <w:sz w:val="21"/>
                <w:highlight w:val="none"/>
              </w:rPr>
            </w:pPr>
          </w:p>
        </w:tc>
        <w:tc>
          <w:tcPr>
            <w:tcW w:w="863" w:type="dxa"/>
            <w:vAlign w:val="top"/>
          </w:tcPr>
          <w:p w14:paraId="37B60D75">
            <w:pPr>
              <w:rPr>
                <w:rFonts w:ascii="Arial"/>
                <w:sz w:val="21"/>
                <w:highlight w:val="none"/>
              </w:rPr>
            </w:pPr>
          </w:p>
        </w:tc>
        <w:tc>
          <w:tcPr>
            <w:tcW w:w="861" w:type="dxa"/>
            <w:vAlign w:val="top"/>
          </w:tcPr>
          <w:p w14:paraId="4503E0C4">
            <w:pPr>
              <w:rPr>
                <w:rFonts w:ascii="Arial"/>
                <w:sz w:val="21"/>
                <w:highlight w:val="none"/>
              </w:rPr>
            </w:pPr>
          </w:p>
        </w:tc>
        <w:tc>
          <w:tcPr>
            <w:tcW w:w="864" w:type="dxa"/>
            <w:vAlign w:val="top"/>
          </w:tcPr>
          <w:p w14:paraId="3B034786">
            <w:pPr>
              <w:rPr>
                <w:rFonts w:ascii="Arial"/>
                <w:sz w:val="21"/>
                <w:highlight w:val="none"/>
              </w:rPr>
            </w:pPr>
          </w:p>
        </w:tc>
        <w:tc>
          <w:tcPr>
            <w:tcW w:w="861" w:type="dxa"/>
            <w:vAlign w:val="top"/>
          </w:tcPr>
          <w:p w14:paraId="0111CE51">
            <w:pPr>
              <w:rPr>
                <w:rFonts w:ascii="Arial"/>
                <w:sz w:val="21"/>
                <w:highlight w:val="none"/>
              </w:rPr>
            </w:pPr>
          </w:p>
        </w:tc>
        <w:tc>
          <w:tcPr>
            <w:tcW w:w="878" w:type="dxa"/>
            <w:vAlign w:val="top"/>
          </w:tcPr>
          <w:p w14:paraId="4BB0A32B">
            <w:pPr>
              <w:rPr>
                <w:rFonts w:ascii="Arial"/>
                <w:sz w:val="21"/>
                <w:highlight w:val="none"/>
              </w:rPr>
            </w:pPr>
          </w:p>
        </w:tc>
        <w:tc>
          <w:tcPr>
            <w:tcW w:w="1135" w:type="dxa"/>
            <w:vAlign w:val="top"/>
          </w:tcPr>
          <w:p w14:paraId="35B92164">
            <w:pPr>
              <w:rPr>
                <w:rFonts w:ascii="Arial"/>
                <w:sz w:val="21"/>
                <w:highlight w:val="none"/>
              </w:rPr>
            </w:pPr>
          </w:p>
        </w:tc>
        <w:tc>
          <w:tcPr>
            <w:tcW w:w="988" w:type="dxa"/>
            <w:vAlign w:val="top"/>
          </w:tcPr>
          <w:p w14:paraId="5768C8B0">
            <w:pPr>
              <w:rPr>
                <w:rFonts w:ascii="Arial"/>
                <w:sz w:val="21"/>
                <w:highlight w:val="none"/>
              </w:rPr>
            </w:pPr>
          </w:p>
        </w:tc>
        <w:tc>
          <w:tcPr>
            <w:tcW w:w="1175" w:type="dxa"/>
            <w:vAlign w:val="top"/>
          </w:tcPr>
          <w:p w14:paraId="03A2027A">
            <w:pPr>
              <w:rPr>
                <w:rFonts w:ascii="Arial"/>
                <w:sz w:val="21"/>
                <w:highlight w:val="none"/>
              </w:rPr>
            </w:pPr>
          </w:p>
        </w:tc>
      </w:tr>
      <w:tr w14:paraId="52A2A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68" w:type="dxa"/>
            <w:vAlign w:val="top"/>
          </w:tcPr>
          <w:p w14:paraId="1C745070">
            <w:pPr>
              <w:rPr>
                <w:rFonts w:ascii="Arial"/>
                <w:sz w:val="21"/>
                <w:highlight w:val="none"/>
              </w:rPr>
            </w:pPr>
          </w:p>
        </w:tc>
        <w:tc>
          <w:tcPr>
            <w:tcW w:w="861" w:type="dxa"/>
            <w:vAlign w:val="top"/>
          </w:tcPr>
          <w:p w14:paraId="4FCED784">
            <w:pPr>
              <w:rPr>
                <w:rFonts w:ascii="Arial"/>
                <w:sz w:val="21"/>
                <w:highlight w:val="none"/>
              </w:rPr>
            </w:pPr>
          </w:p>
        </w:tc>
        <w:tc>
          <w:tcPr>
            <w:tcW w:w="863" w:type="dxa"/>
            <w:vAlign w:val="top"/>
          </w:tcPr>
          <w:p w14:paraId="2A15DEE8">
            <w:pPr>
              <w:rPr>
                <w:rFonts w:ascii="Arial"/>
                <w:sz w:val="21"/>
                <w:highlight w:val="none"/>
              </w:rPr>
            </w:pPr>
          </w:p>
        </w:tc>
        <w:tc>
          <w:tcPr>
            <w:tcW w:w="861" w:type="dxa"/>
            <w:vAlign w:val="top"/>
          </w:tcPr>
          <w:p w14:paraId="68CA2595">
            <w:pPr>
              <w:rPr>
                <w:rFonts w:ascii="Arial"/>
                <w:sz w:val="21"/>
                <w:highlight w:val="none"/>
              </w:rPr>
            </w:pPr>
          </w:p>
        </w:tc>
        <w:tc>
          <w:tcPr>
            <w:tcW w:w="864" w:type="dxa"/>
            <w:vAlign w:val="top"/>
          </w:tcPr>
          <w:p w14:paraId="1196D4BC">
            <w:pPr>
              <w:rPr>
                <w:rFonts w:ascii="Arial"/>
                <w:sz w:val="21"/>
                <w:highlight w:val="none"/>
              </w:rPr>
            </w:pPr>
          </w:p>
        </w:tc>
        <w:tc>
          <w:tcPr>
            <w:tcW w:w="861" w:type="dxa"/>
            <w:vAlign w:val="top"/>
          </w:tcPr>
          <w:p w14:paraId="293334A8">
            <w:pPr>
              <w:rPr>
                <w:rFonts w:ascii="Arial"/>
                <w:sz w:val="21"/>
                <w:highlight w:val="none"/>
              </w:rPr>
            </w:pPr>
          </w:p>
        </w:tc>
        <w:tc>
          <w:tcPr>
            <w:tcW w:w="878" w:type="dxa"/>
            <w:vAlign w:val="top"/>
          </w:tcPr>
          <w:p w14:paraId="1C3D477A">
            <w:pPr>
              <w:rPr>
                <w:rFonts w:ascii="Arial"/>
                <w:sz w:val="21"/>
                <w:highlight w:val="none"/>
              </w:rPr>
            </w:pPr>
          </w:p>
        </w:tc>
        <w:tc>
          <w:tcPr>
            <w:tcW w:w="1135" w:type="dxa"/>
            <w:vAlign w:val="top"/>
          </w:tcPr>
          <w:p w14:paraId="25FCA12F">
            <w:pPr>
              <w:rPr>
                <w:rFonts w:ascii="Arial"/>
                <w:sz w:val="21"/>
                <w:highlight w:val="none"/>
              </w:rPr>
            </w:pPr>
          </w:p>
        </w:tc>
        <w:tc>
          <w:tcPr>
            <w:tcW w:w="988" w:type="dxa"/>
            <w:vAlign w:val="top"/>
          </w:tcPr>
          <w:p w14:paraId="27A65E89">
            <w:pPr>
              <w:rPr>
                <w:rFonts w:ascii="Arial"/>
                <w:sz w:val="21"/>
                <w:highlight w:val="none"/>
              </w:rPr>
            </w:pPr>
          </w:p>
        </w:tc>
        <w:tc>
          <w:tcPr>
            <w:tcW w:w="1175" w:type="dxa"/>
            <w:vAlign w:val="top"/>
          </w:tcPr>
          <w:p w14:paraId="52383C40">
            <w:pPr>
              <w:rPr>
                <w:rFonts w:ascii="Arial"/>
                <w:sz w:val="21"/>
                <w:highlight w:val="none"/>
              </w:rPr>
            </w:pPr>
          </w:p>
        </w:tc>
      </w:tr>
      <w:tr w14:paraId="561B9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868" w:type="dxa"/>
            <w:vAlign w:val="top"/>
          </w:tcPr>
          <w:p w14:paraId="76A3F87D">
            <w:pPr>
              <w:rPr>
                <w:rFonts w:ascii="Arial"/>
                <w:sz w:val="21"/>
                <w:highlight w:val="none"/>
              </w:rPr>
            </w:pPr>
          </w:p>
        </w:tc>
        <w:tc>
          <w:tcPr>
            <w:tcW w:w="861" w:type="dxa"/>
            <w:vAlign w:val="top"/>
          </w:tcPr>
          <w:p w14:paraId="0483154A">
            <w:pPr>
              <w:rPr>
                <w:rFonts w:ascii="Arial"/>
                <w:sz w:val="21"/>
                <w:highlight w:val="none"/>
              </w:rPr>
            </w:pPr>
          </w:p>
        </w:tc>
        <w:tc>
          <w:tcPr>
            <w:tcW w:w="863" w:type="dxa"/>
            <w:vAlign w:val="top"/>
          </w:tcPr>
          <w:p w14:paraId="09D69A82">
            <w:pPr>
              <w:rPr>
                <w:rFonts w:ascii="Arial"/>
                <w:sz w:val="21"/>
                <w:highlight w:val="none"/>
              </w:rPr>
            </w:pPr>
          </w:p>
        </w:tc>
        <w:tc>
          <w:tcPr>
            <w:tcW w:w="861" w:type="dxa"/>
            <w:vAlign w:val="top"/>
          </w:tcPr>
          <w:p w14:paraId="2EBEE2A0">
            <w:pPr>
              <w:rPr>
                <w:rFonts w:ascii="Arial"/>
                <w:sz w:val="21"/>
                <w:highlight w:val="none"/>
              </w:rPr>
            </w:pPr>
          </w:p>
        </w:tc>
        <w:tc>
          <w:tcPr>
            <w:tcW w:w="864" w:type="dxa"/>
            <w:vAlign w:val="top"/>
          </w:tcPr>
          <w:p w14:paraId="6832B77F">
            <w:pPr>
              <w:rPr>
                <w:rFonts w:ascii="Arial"/>
                <w:sz w:val="21"/>
                <w:highlight w:val="none"/>
              </w:rPr>
            </w:pPr>
          </w:p>
        </w:tc>
        <w:tc>
          <w:tcPr>
            <w:tcW w:w="861" w:type="dxa"/>
            <w:vAlign w:val="top"/>
          </w:tcPr>
          <w:p w14:paraId="63307A2D">
            <w:pPr>
              <w:rPr>
                <w:rFonts w:ascii="Arial"/>
                <w:sz w:val="21"/>
                <w:highlight w:val="none"/>
              </w:rPr>
            </w:pPr>
          </w:p>
        </w:tc>
        <w:tc>
          <w:tcPr>
            <w:tcW w:w="878" w:type="dxa"/>
            <w:vAlign w:val="top"/>
          </w:tcPr>
          <w:p w14:paraId="4AC31CB9">
            <w:pPr>
              <w:rPr>
                <w:rFonts w:ascii="Arial"/>
                <w:sz w:val="21"/>
                <w:highlight w:val="none"/>
              </w:rPr>
            </w:pPr>
          </w:p>
        </w:tc>
        <w:tc>
          <w:tcPr>
            <w:tcW w:w="1135" w:type="dxa"/>
            <w:vAlign w:val="top"/>
          </w:tcPr>
          <w:p w14:paraId="66420AC2">
            <w:pPr>
              <w:rPr>
                <w:rFonts w:ascii="Arial"/>
                <w:sz w:val="21"/>
                <w:highlight w:val="none"/>
              </w:rPr>
            </w:pPr>
          </w:p>
        </w:tc>
        <w:tc>
          <w:tcPr>
            <w:tcW w:w="988" w:type="dxa"/>
            <w:vAlign w:val="top"/>
          </w:tcPr>
          <w:p w14:paraId="54CA10BC">
            <w:pPr>
              <w:rPr>
                <w:rFonts w:ascii="Arial"/>
                <w:sz w:val="21"/>
                <w:highlight w:val="none"/>
              </w:rPr>
            </w:pPr>
          </w:p>
        </w:tc>
        <w:tc>
          <w:tcPr>
            <w:tcW w:w="1175" w:type="dxa"/>
            <w:vAlign w:val="top"/>
          </w:tcPr>
          <w:p w14:paraId="76D56E0F">
            <w:pPr>
              <w:rPr>
                <w:rFonts w:ascii="Arial"/>
                <w:sz w:val="21"/>
                <w:highlight w:val="none"/>
              </w:rPr>
            </w:pPr>
          </w:p>
        </w:tc>
      </w:tr>
    </w:tbl>
    <w:p w14:paraId="3313DEE8">
      <w:pPr>
        <w:spacing w:line="369" w:lineRule="auto"/>
        <w:rPr>
          <w:rFonts w:ascii="Arial"/>
          <w:sz w:val="21"/>
          <w:highlight w:val="none"/>
        </w:rPr>
      </w:pPr>
    </w:p>
    <w:p w14:paraId="6AD3DA2B">
      <w:pPr>
        <w:pStyle w:val="8"/>
        <w:spacing w:before="69" w:line="221" w:lineRule="auto"/>
        <w:ind w:left="1808"/>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注：1、</w:t>
      </w:r>
      <w:r>
        <w:rPr>
          <w:rFonts w:hint="eastAsia" w:ascii="宋体" w:hAnsi="宋体" w:eastAsia="宋体" w:cs="宋体"/>
          <w:spacing w:val="-1"/>
          <w:sz w:val="24"/>
          <w:szCs w:val="24"/>
          <w:highlight w:val="none"/>
          <w:lang w:val="en-US" w:eastAsia="zh-CN"/>
        </w:rPr>
        <w:t>2023年5月1日至2026年4月30日签订的金额≥10万元人民币以上的</w:t>
      </w:r>
    </w:p>
    <w:p w14:paraId="54C5D74C">
      <w:pPr>
        <w:pStyle w:val="8"/>
        <w:spacing w:before="69" w:line="221" w:lineRule="auto"/>
        <w:ind w:left="1808" w:firstLine="476" w:firstLineChars="200"/>
        <w:rPr>
          <w:rFonts w:hint="eastAsia"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2、</w:t>
      </w:r>
      <w:r>
        <w:rPr>
          <w:rFonts w:hint="eastAsia" w:ascii="宋体" w:hAnsi="宋体" w:eastAsia="宋体" w:cs="宋体"/>
          <w:spacing w:val="-1"/>
          <w:sz w:val="24"/>
          <w:szCs w:val="24"/>
          <w:highlight w:val="none"/>
        </w:rPr>
        <w:t>合同状态请填写“已完成”或“正在实施”。</w:t>
      </w:r>
    </w:p>
    <w:p w14:paraId="35C9A614">
      <w:pPr>
        <w:spacing w:line="221" w:lineRule="auto"/>
        <w:rPr>
          <w:sz w:val="21"/>
          <w:szCs w:val="21"/>
          <w:highlight w:val="none"/>
        </w:rPr>
      </w:pPr>
    </w:p>
    <w:p w14:paraId="3ECB99CD">
      <w:pPr>
        <w:spacing w:line="221" w:lineRule="auto"/>
        <w:rPr>
          <w:sz w:val="21"/>
          <w:szCs w:val="21"/>
          <w:highlight w:val="none"/>
        </w:rPr>
        <w:sectPr>
          <w:footerReference r:id="rId15" w:type="default"/>
          <w:pgSz w:w="11900" w:h="16841"/>
          <w:pgMar w:top="400" w:right="0" w:bottom="1292" w:left="0" w:header="0" w:footer="1057" w:gutter="0"/>
          <w:pgNumType w:fmt="decimal"/>
          <w:cols w:space="720" w:num="1"/>
        </w:sectPr>
      </w:pPr>
    </w:p>
    <w:p w14:paraId="1509EC7E">
      <w:pPr>
        <w:spacing w:line="245" w:lineRule="auto"/>
        <w:rPr>
          <w:rFonts w:ascii="Arial"/>
          <w:sz w:val="21"/>
          <w:highlight w:val="none"/>
        </w:rPr>
      </w:pPr>
    </w:p>
    <w:p w14:paraId="5685088B">
      <w:pPr>
        <w:spacing w:line="245" w:lineRule="auto"/>
        <w:rPr>
          <w:rFonts w:ascii="Arial"/>
          <w:sz w:val="21"/>
          <w:highlight w:val="none"/>
        </w:rPr>
      </w:pPr>
    </w:p>
    <w:p w14:paraId="7221238F">
      <w:pPr>
        <w:spacing w:line="245" w:lineRule="auto"/>
        <w:rPr>
          <w:rFonts w:ascii="Arial"/>
          <w:sz w:val="21"/>
          <w:highlight w:val="none"/>
        </w:rPr>
      </w:pPr>
    </w:p>
    <w:p w14:paraId="30C74FD2">
      <w:pPr>
        <w:spacing w:line="245" w:lineRule="auto"/>
        <w:rPr>
          <w:rFonts w:ascii="Arial"/>
          <w:sz w:val="21"/>
          <w:highlight w:val="none"/>
        </w:rPr>
      </w:pPr>
    </w:p>
    <w:p w14:paraId="20217F5A">
      <w:pPr>
        <w:spacing w:before="91" w:line="221" w:lineRule="auto"/>
        <w:ind w:left="4883"/>
        <w:rPr>
          <w:rFonts w:ascii="黑体" w:hAnsi="黑体" w:eastAsia="黑体" w:cs="黑体"/>
          <w:sz w:val="28"/>
          <w:szCs w:val="28"/>
          <w:highlight w:val="none"/>
        </w:rPr>
      </w:pPr>
      <w:r>
        <w:rPr>
          <w:rFonts w:hint="eastAsia" w:ascii="黑体" w:hAnsi="黑体" w:eastAsia="黑体" w:cs="黑体"/>
          <w:spacing w:val="-9"/>
          <w:sz w:val="28"/>
          <w:szCs w:val="28"/>
          <w:highlight w:val="none"/>
          <w:lang w:eastAsia="zh-CN"/>
        </w:rPr>
        <w:t>（</w:t>
      </w:r>
      <w:r>
        <w:rPr>
          <w:rFonts w:hint="eastAsia" w:ascii="黑体" w:hAnsi="黑体" w:eastAsia="黑体" w:cs="黑体"/>
          <w:spacing w:val="-9"/>
          <w:sz w:val="28"/>
          <w:szCs w:val="28"/>
          <w:highlight w:val="none"/>
          <w:lang w:val="en-US" w:eastAsia="zh-CN"/>
        </w:rPr>
        <w:t>2</w:t>
      </w:r>
      <w:r>
        <w:rPr>
          <w:rFonts w:hint="eastAsia" w:ascii="黑体" w:hAnsi="黑体" w:eastAsia="黑体" w:cs="黑体"/>
          <w:spacing w:val="-9"/>
          <w:sz w:val="28"/>
          <w:szCs w:val="28"/>
          <w:highlight w:val="none"/>
          <w:lang w:eastAsia="zh-CN"/>
        </w:rPr>
        <w:t>）</w:t>
      </w:r>
      <w:r>
        <w:rPr>
          <w:rFonts w:ascii="黑体" w:hAnsi="黑体" w:eastAsia="黑体" w:cs="黑体"/>
          <w:spacing w:val="-9"/>
          <w:sz w:val="28"/>
          <w:szCs w:val="28"/>
          <w:highlight w:val="none"/>
        </w:rPr>
        <w:t>同类项目情况表</w:t>
      </w:r>
    </w:p>
    <w:p w14:paraId="5205E3D6">
      <w:pPr>
        <w:pStyle w:val="8"/>
        <w:spacing w:before="201" w:line="212" w:lineRule="auto"/>
        <w:ind w:left="2407"/>
        <w:rPr>
          <w:spacing w:val="-12"/>
          <w:sz w:val="21"/>
          <w:szCs w:val="21"/>
          <w:highlight w:val="none"/>
        </w:rPr>
      </w:pPr>
      <w:r>
        <w:rPr>
          <w:spacing w:val="-12"/>
          <w:sz w:val="21"/>
          <w:szCs w:val="21"/>
          <w:highlight w:val="none"/>
        </w:rPr>
        <w:t>序号：</w:t>
      </w:r>
    </w:p>
    <w:p w14:paraId="19473354">
      <w:pPr>
        <w:rPr>
          <w:highlight w:val="none"/>
        </w:rPr>
      </w:pPr>
    </w:p>
    <w:tbl>
      <w:tblPr>
        <w:tblStyle w:val="22"/>
        <w:tblW w:w="9038" w:type="dxa"/>
        <w:tblInd w:w="18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7"/>
        <w:gridCol w:w="5941"/>
      </w:tblGrid>
      <w:tr w14:paraId="5540D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3097" w:type="dxa"/>
            <w:vAlign w:val="top"/>
          </w:tcPr>
          <w:p w14:paraId="6627C3C4">
            <w:pPr>
              <w:pStyle w:val="23"/>
              <w:spacing w:before="116" w:line="221" w:lineRule="auto"/>
              <w:ind w:left="419"/>
              <w:rPr>
                <w:highlight w:val="none"/>
              </w:rPr>
            </w:pPr>
            <w:r>
              <w:rPr>
                <w:spacing w:val="-3"/>
                <w:highlight w:val="none"/>
              </w:rPr>
              <w:t>同类业绩要求的设备名称</w:t>
            </w:r>
          </w:p>
        </w:tc>
        <w:tc>
          <w:tcPr>
            <w:tcW w:w="5941" w:type="dxa"/>
            <w:vAlign w:val="top"/>
          </w:tcPr>
          <w:p w14:paraId="7F9F82A9">
            <w:pPr>
              <w:rPr>
                <w:rFonts w:ascii="Arial"/>
                <w:sz w:val="21"/>
                <w:highlight w:val="none"/>
              </w:rPr>
            </w:pPr>
          </w:p>
        </w:tc>
      </w:tr>
      <w:tr w14:paraId="31349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3097" w:type="dxa"/>
            <w:vAlign w:val="top"/>
          </w:tcPr>
          <w:p w14:paraId="6E49A91A">
            <w:pPr>
              <w:pStyle w:val="23"/>
              <w:spacing w:before="109" w:line="221" w:lineRule="auto"/>
              <w:ind w:left="1028"/>
              <w:rPr>
                <w:highlight w:val="none"/>
              </w:rPr>
            </w:pPr>
            <w:r>
              <w:rPr>
                <w:spacing w:val="-2"/>
                <w:highlight w:val="none"/>
              </w:rPr>
              <w:t>规格和型号</w:t>
            </w:r>
          </w:p>
        </w:tc>
        <w:tc>
          <w:tcPr>
            <w:tcW w:w="5941" w:type="dxa"/>
            <w:vAlign w:val="top"/>
          </w:tcPr>
          <w:p w14:paraId="665806A9">
            <w:pPr>
              <w:rPr>
                <w:rFonts w:ascii="Arial"/>
                <w:sz w:val="21"/>
                <w:highlight w:val="none"/>
              </w:rPr>
            </w:pPr>
          </w:p>
        </w:tc>
      </w:tr>
      <w:tr w14:paraId="556B9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3097" w:type="dxa"/>
            <w:vAlign w:val="top"/>
          </w:tcPr>
          <w:p w14:paraId="4CEA216F">
            <w:pPr>
              <w:pStyle w:val="23"/>
              <w:spacing w:before="110" w:line="222" w:lineRule="auto"/>
              <w:ind w:left="1137"/>
              <w:rPr>
                <w:highlight w:val="none"/>
              </w:rPr>
            </w:pPr>
            <w:r>
              <w:rPr>
                <w:spacing w:val="-3"/>
                <w:highlight w:val="none"/>
              </w:rPr>
              <w:t>项目名称</w:t>
            </w:r>
          </w:p>
        </w:tc>
        <w:tc>
          <w:tcPr>
            <w:tcW w:w="5941" w:type="dxa"/>
            <w:vAlign w:val="top"/>
          </w:tcPr>
          <w:p w14:paraId="0503434B">
            <w:pPr>
              <w:rPr>
                <w:rFonts w:ascii="Arial"/>
                <w:sz w:val="21"/>
                <w:highlight w:val="none"/>
              </w:rPr>
            </w:pPr>
          </w:p>
        </w:tc>
      </w:tr>
      <w:tr w14:paraId="07907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3097" w:type="dxa"/>
            <w:vAlign w:val="top"/>
          </w:tcPr>
          <w:p w14:paraId="7B74AD42">
            <w:pPr>
              <w:pStyle w:val="23"/>
              <w:spacing w:before="110" w:line="222" w:lineRule="auto"/>
              <w:ind w:left="1141"/>
              <w:rPr>
                <w:highlight w:val="none"/>
              </w:rPr>
            </w:pPr>
            <w:r>
              <w:rPr>
                <w:spacing w:val="-4"/>
                <w:highlight w:val="none"/>
              </w:rPr>
              <w:t>买方名称</w:t>
            </w:r>
          </w:p>
        </w:tc>
        <w:tc>
          <w:tcPr>
            <w:tcW w:w="5941" w:type="dxa"/>
            <w:vAlign w:val="top"/>
          </w:tcPr>
          <w:p w14:paraId="64CA10F2">
            <w:pPr>
              <w:rPr>
                <w:rFonts w:ascii="Arial"/>
                <w:sz w:val="21"/>
                <w:highlight w:val="none"/>
              </w:rPr>
            </w:pPr>
          </w:p>
        </w:tc>
      </w:tr>
      <w:tr w14:paraId="3DC0D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3097" w:type="dxa"/>
            <w:vAlign w:val="top"/>
          </w:tcPr>
          <w:p w14:paraId="18C8EBCA">
            <w:pPr>
              <w:pStyle w:val="23"/>
              <w:spacing w:before="111" w:line="222" w:lineRule="auto"/>
              <w:ind w:left="721"/>
              <w:rPr>
                <w:highlight w:val="none"/>
              </w:rPr>
            </w:pPr>
            <w:r>
              <w:rPr>
                <w:spacing w:val="-2"/>
                <w:highlight w:val="none"/>
              </w:rPr>
              <w:t>买方联系人及电话</w:t>
            </w:r>
          </w:p>
        </w:tc>
        <w:tc>
          <w:tcPr>
            <w:tcW w:w="5941" w:type="dxa"/>
            <w:vAlign w:val="top"/>
          </w:tcPr>
          <w:p w14:paraId="4F5B4A76">
            <w:pPr>
              <w:rPr>
                <w:rFonts w:ascii="Arial"/>
                <w:sz w:val="21"/>
                <w:highlight w:val="none"/>
              </w:rPr>
            </w:pPr>
          </w:p>
        </w:tc>
      </w:tr>
      <w:tr w14:paraId="1DF60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097" w:type="dxa"/>
            <w:vAlign w:val="top"/>
          </w:tcPr>
          <w:p w14:paraId="609FBFD8">
            <w:pPr>
              <w:pStyle w:val="23"/>
              <w:spacing w:before="111" w:line="220" w:lineRule="auto"/>
              <w:ind w:left="1134"/>
              <w:rPr>
                <w:highlight w:val="none"/>
              </w:rPr>
            </w:pPr>
            <w:r>
              <w:rPr>
                <w:spacing w:val="-2"/>
                <w:highlight w:val="none"/>
              </w:rPr>
              <w:t>合同价格</w:t>
            </w:r>
          </w:p>
        </w:tc>
        <w:tc>
          <w:tcPr>
            <w:tcW w:w="5941" w:type="dxa"/>
            <w:vAlign w:val="top"/>
          </w:tcPr>
          <w:p w14:paraId="6F90C6D0">
            <w:pPr>
              <w:rPr>
                <w:rFonts w:ascii="Arial"/>
                <w:sz w:val="21"/>
                <w:highlight w:val="none"/>
              </w:rPr>
            </w:pPr>
          </w:p>
        </w:tc>
      </w:tr>
      <w:tr w14:paraId="6D297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3097" w:type="dxa"/>
            <w:vAlign w:val="top"/>
          </w:tcPr>
          <w:p w14:paraId="3CA94A55">
            <w:pPr>
              <w:pStyle w:val="23"/>
              <w:spacing w:before="150" w:line="361" w:lineRule="auto"/>
              <w:ind w:left="928" w:right="178" w:hanging="741"/>
              <w:rPr>
                <w:highlight w:val="none"/>
              </w:rPr>
            </w:pPr>
            <w:r>
              <w:rPr>
                <w:spacing w:val="-1"/>
                <w:highlight w:val="none"/>
              </w:rPr>
              <w:t>验收日期或业主证明中的项目</w:t>
            </w:r>
            <w:r>
              <w:rPr>
                <w:spacing w:val="8"/>
                <w:highlight w:val="none"/>
              </w:rPr>
              <w:t xml:space="preserve"> </w:t>
            </w:r>
            <w:r>
              <w:rPr>
                <w:spacing w:val="-2"/>
                <w:highlight w:val="none"/>
              </w:rPr>
              <w:t>正式运行日期</w:t>
            </w:r>
          </w:p>
        </w:tc>
        <w:tc>
          <w:tcPr>
            <w:tcW w:w="5941" w:type="dxa"/>
            <w:vAlign w:val="top"/>
          </w:tcPr>
          <w:p w14:paraId="6B21FC4C">
            <w:pPr>
              <w:rPr>
                <w:rFonts w:ascii="Arial"/>
                <w:sz w:val="21"/>
                <w:highlight w:val="none"/>
              </w:rPr>
            </w:pPr>
          </w:p>
        </w:tc>
      </w:tr>
      <w:tr w14:paraId="53771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3097" w:type="dxa"/>
            <w:vAlign w:val="top"/>
          </w:tcPr>
          <w:p w14:paraId="4805A465">
            <w:pPr>
              <w:pStyle w:val="23"/>
              <w:spacing w:before="115" w:line="221" w:lineRule="auto"/>
              <w:ind w:left="297"/>
              <w:rPr>
                <w:highlight w:val="none"/>
              </w:rPr>
            </w:pPr>
            <w:r>
              <w:rPr>
                <w:spacing w:val="-1"/>
                <w:highlight w:val="none"/>
              </w:rPr>
              <w:t>项目概况及投标人履约情况</w:t>
            </w:r>
          </w:p>
        </w:tc>
        <w:tc>
          <w:tcPr>
            <w:tcW w:w="5941" w:type="dxa"/>
            <w:vAlign w:val="top"/>
          </w:tcPr>
          <w:p w14:paraId="50ADF96F">
            <w:pPr>
              <w:rPr>
                <w:rFonts w:ascii="Arial"/>
                <w:sz w:val="21"/>
                <w:highlight w:val="none"/>
              </w:rPr>
            </w:pPr>
          </w:p>
        </w:tc>
      </w:tr>
      <w:tr w14:paraId="7F588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097" w:type="dxa"/>
            <w:vAlign w:val="top"/>
          </w:tcPr>
          <w:p w14:paraId="38DBF7C5">
            <w:pPr>
              <w:pStyle w:val="23"/>
              <w:spacing w:before="112" w:line="223" w:lineRule="auto"/>
              <w:ind w:left="1347"/>
              <w:rPr>
                <w:highlight w:val="none"/>
              </w:rPr>
            </w:pPr>
            <w:r>
              <w:rPr>
                <w:spacing w:val="-3"/>
                <w:highlight w:val="none"/>
              </w:rPr>
              <w:t>备注</w:t>
            </w:r>
          </w:p>
        </w:tc>
        <w:tc>
          <w:tcPr>
            <w:tcW w:w="5941" w:type="dxa"/>
            <w:vAlign w:val="top"/>
          </w:tcPr>
          <w:p w14:paraId="5AE648D9">
            <w:pPr>
              <w:rPr>
                <w:rFonts w:ascii="Arial"/>
                <w:sz w:val="21"/>
                <w:highlight w:val="none"/>
              </w:rPr>
            </w:pPr>
          </w:p>
        </w:tc>
      </w:tr>
    </w:tbl>
    <w:p w14:paraId="1D2A92E6">
      <w:pPr>
        <w:spacing w:line="444" w:lineRule="auto"/>
        <w:rPr>
          <w:rFonts w:ascii="Arial"/>
          <w:sz w:val="21"/>
          <w:highlight w:val="none"/>
        </w:rPr>
      </w:pPr>
    </w:p>
    <w:p w14:paraId="3D7671A2">
      <w:pPr>
        <w:pStyle w:val="8"/>
        <w:spacing w:before="68" w:line="221" w:lineRule="auto"/>
        <w:ind w:left="1808"/>
        <w:rPr>
          <w:sz w:val="21"/>
          <w:szCs w:val="21"/>
          <w:highlight w:val="none"/>
        </w:rPr>
      </w:pPr>
      <w:r>
        <w:rPr>
          <w:spacing w:val="-1"/>
          <w:sz w:val="21"/>
          <w:szCs w:val="21"/>
          <w:highlight w:val="none"/>
        </w:rPr>
        <w:t>注：1.每张表格只填写一个项目，并标明序号。表格可根据项目信息需要细化。</w:t>
      </w:r>
    </w:p>
    <w:p w14:paraId="67C1244E">
      <w:pPr>
        <w:pStyle w:val="8"/>
        <w:spacing w:before="155" w:line="221" w:lineRule="auto"/>
        <w:ind w:left="2230"/>
        <w:rPr>
          <w:rFonts w:hint="eastAsia" w:ascii="宋体" w:hAnsi="宋体" w:eastAsia="宋体" w:cs="宋体"/>
          <w:sz w:val="21"/>
          <w:szCs w:val="21"/>
          <w:highlight w:val="none"/>
        </w:rPr>
      </w:pPr>
      <w:r>
        <w:rPr>
          <w:spacing w:val="-1"/>
          <w:sz w:val="21"/>
          <w:szCs w:val="21"/>
          <w:highlight w:val="none"/>
        </w:rPr>
        <w:t>2</w:t>
      </w:r>
      <w:r>
        <w:rPr>
          <w:rFonts w:hint="eastAsia" w:ascii="宋体" w:hAnsi="宋体" w:eastAsia="宋体" w:cs="宋体"/>
          <w:spacing w:val="-1"/>
          <w:sz w:val="21"/>
          <w:szCs w:val="21"/>
          <w:highlight w:val="none"/>
        </w:rPr>
        <w:t>.在本表后附</w:t>
      </w:r>
      <w:r>
        <w:rPr>
          <w:rFonts w:hint="eastAsia" w:ascii="宋体" w:hAnsi="宋体" w:eastAsia="宋体" w:cs="宋体"/>
          <w:spacing w:val="-2"/>
          <w:sz w:val="21"/>
          <w:szCs w:val="21"/>
          <w:highlight w:val="none"/>
        </w:rPr>
        <w:t>相关证明材料</w:t>
      </w:r>
      <w:r>
        <w:rPr>
          <w:rFonts w:hint="eastAsia" w:ascii="宋体" w:hAnsi="宋体" w:eastAsia="宋体" w:cs="宋体"/>
          <w:spacing w:val="-2"/>
          <w:sz w:val="21"/>
          <w:szCs w:val="21"/>
          <w:highlight w:val="none"/>
          <w:lang w:eastAsia="zh-CN"/>
        </w:rPr>
        <w:t>，</w:t>
      </w:r>
      <w:r>
        <w:rPr>
          <w:rFonts w:hint="eastAsia" w:ascii="宋体" w:hAnsi="宋体" w:eastAsia="宋体" w:cs="宋体"/>
          <w:spacing w:val="-1"/>
          <w:sz w:val="21"/>
          <w:szCs w:val="21"/>
          <w:highlight w:val="none"/>
          <w:lang w:val="en-US" w:eastAsia="zh-CN"/>
        </w:rPr>
        <w:t>2023年5月1日至2026年4月30日签订的金额≥10万元人民币以上的合同</w:t>
      </w:r>
      <w:r>
        <w:rPr>
          <w:rFonts w:hint="eastAsia" w:ascii="宋体" w:hAnsi="宋体" w:eastAsia="宋体" w:cs="宋体"/>
          <w:spacing w:val="-2"/>
          <w:sz w:val="21"/>
          <w:szCs w:val="21"/>
          <w:highlight w:val="none"/>
        </w:rPr>
        <w:t>。</w:t>
      </w:r>
    </w:p>
    <w:p w14:paraId="0FC0A2C6">
      <w:pPr>
        <w:pStyle w:val="8"/>
        <w:spacing w:before="158" w:line="361" w:lineRule="auto"/>
        <w:ind w:left="1807" w:right="1932" w:firstLine="42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投标人应在本表后提供类似项目（同类项目）业绩相关证明材料。合同页数过多可附</w:t>
      </w:r>
      <w:r>
        <w:rPr>
          <w:rFonts w:hint="eastAsia" w:ascii="宋体" w:hAnsi="宋体" w:eastAsia="宋体" w:cs="宋体"/>
          <w:spacing w:val="2"/>
          <w:sz w:val="21"/>
          <w:szCs w:val="21"/>
          <w:highlight w:val="none"/>
        </w:rPr>
        <w:t xml:space="preserve"> </w:t>
      </w:r>
      <w:r>
        <w:rPr>
          <w:rFonts w:hint="eastAsia" w:ascii="宋体" w:hAnsi="宋体" w:eastAsia="宋体" w:cs="宋体"/>
          <w:spacing w:val="-1"/>
          <w:sz w:val="21"/>
          <w:szCs w:val="21"/>
          <w:highlight w:val="none"/>
        </w:rPr>
        <w:t>封面页、合同范围页、签字盖章页等关键页。</w:t>
      </w:r>
      <w:r>
        <w:rPr>
          <w:rFonts w:hint="eastAsia" w:ascii="宋体" w:hAnsi="宋体" w:eastAsia="宋体" w:cs="宋体"/>
          <w:b/>
          <w:bCs/>
          <w:spacing w:val="-1"/>
          <w:sz w:val="21"/>
          <w:szCs w:val="21"/>
          <w:highlight w:val="none"/>
        </w:rPr>
        <w:t>未按要求附证明材料的，该项业绩不予认</w:t>
      </w:r>
      <w:r>
        <w:rPr>
          <w:rFonts w:hint="eastAsia" w:ascii="宋体" w:hAnsi="宋体" w:eastAsia="宋体" w:cs="宋体"/>
          <w:spacing w:val="3"/>
          <w:sz w:val="21"/>
          <w:szCs w:val="21"/>
          <w:highlight w:val="none"/>
        </w:rPr>
        <w:t xml:space="preserve">  </w:t>
      </w:r>
      <w:r>
        <w:rPr>
          <w:rFonts w:hint="eastAsia" w:ascii="宋体" w:hAnsi="宋体" w:eastAsia="宋体" w:cs="宋体"/>
          <w:b/>
          <w:bCs/>
          <w:spacing w:val="-12"/>
          <w:sz w:val="21"/>
          <w:szCs w:val="21"/>
          <w:highlight w:val="none"/>
        </w:rPr>
        <w:t>定。</w:t>
      </w:r>
    </w:p>
    <w:p w14:paraId="40BA176F">
      <w:pPr>
        <w:spacing w:line="361" w:lineRule="auto"/>
        <w:rPr>
          <w:sz w:val="21"/>
          <w:szCs w:val="21"/>
          <w:highlight w:val="none"/>
        </w:rPr>
      </w:pPr>
    </w:p>
    <w:p w14:paraId="0EE32794">
      <w:pPr>
        <w:spacing w:line="361" w:lineRule="auto"/>
        <w:rPr>
          <w:sz w:val="21"/>
          <w:szCs w:val="21"/>
          <w:highlight w:val="none"/>
        </w:rPr>
        <w:sectPr>
          <w:footerReference r:id="rId16" w:type="default"/>
          <w:pgSz w:w="11900" w:h="16841"/>
          <w:pgMar w:top="400" w:right="0" w:bottom="1292" w:left="0" w:header="0" w:footer="1057" w:gutter="0"/>
          <w:pgNumType w:fmt="decimal"/>
          <w:cols w:space="720" w:num="1"/>
        </w:sectPr>
      </w:pPr>
    </w:p>
    <w:p w14:paraId="34275E41">
      <w:pPr>
        <w:spacing w:line="244" w:lineRule="auto"/>
        <w:rPr>
          <w:rFonts w:ascii="Arial"/>
          <w:sz w:val="21"/>
          <w:highlight w:val="none"/>
        </w:rPr>
      </w:pPr>
    </w:p>
    <w:p w14:paraId="2EE6B893">
      <w:pPr>
        <w:spacing w:line="244" w:lineRule="auto"/>
        <w:rPr>
          <w:rFonts w:ascii="Arial"/>
          <w:sz w:val="21"/>
          <w:highlight w:val="none"/>
        </w:rPr>
      </w:pPr>
    </w:p>
    <w:p w14:paraId="58012ACC">
      <w:pPr>
        <w:spacing w:line="245" w:lineRule="auto"/>
        <w:rPr>
          <w:rFonts w:ascii="Arial"/>
          <w:sz w:val="21"/>
          <w:highlight w:val="none"/>
        </w:rPr>
      </w:pPr>
    </w:p>
    <w:p w14:paraId="22367F1C">
      <w:pPr>
        <w:spacing w:line="245" w:lineRule="auto"/>
        <w:rPr>
          <w:rFonts w:ascii="Arial"/>
          <w:sz w:val="21"/>
          <w:highlight w:val="none"/>
        </w:rPr>
      </w:pPr>
    </w:p>
    <w:p w14:paraId="2B16653D">
      <w:pPr>
        <w:numPr>
          <w:ilvl w:val="0"/>
          <w:numId w:val="0"/>
        </w:numPr>
        <w:spacing w:before="101" w:line="226" w:lineRule="auto"/>
        <w:jc w:val="center"/>
        <w:outlineLvl w:val="1"/>
        <w:rPr>
          <w:rFonts w:ascii="黑体" w:hAnsi="黑体" w:eastAsia="黑体" w:cs="黑体"/>
          <w:b/>
          <w:bCs/>
          <w:spacing w:val="3"/>
          <w:sz w:val="31"/>
          <w:szCs w:val="31"/>
          <w:highlight w:val="none"/>
        </w:rPr>
      </w:pPr>
      <w:bookmarkStart w:id="107" w:name="_Toc5120"/>
      <w:r>
        <w:rPr>
          <w:rFonts w:hint="eastAsia" w:ascii="黑体" w:hAnsi="黑体" w:eastAsia="黑体" w:cs="黑体"/>
          <w:b/>
          <w:bCs/>
          <w:spacing w:val="3"/>
          <w:sz w:val="31"/>
          <w:szCs w:val="31"/>
          <w:highlight w:val="none"/>
          <w:lang w:val="en-US" w:eastAsia="zh-CN"/>
        </w:rPr>
        <w:t>13.</w:t>
      </w:r>
      <w:r>
        <w:rPr>
          <w:rFonts w:ascii="黑体" w:hAnsi="黑体" w:eastAsia="黑体" w:cs="黑体"/>
          <w:b/>
          <w:bCs/>
          <w:spacing w:val="3"/>
          <w:sz w:val="31"/>
          <w:szCs w:val="31"/>
          <w:highlight w:val="none"/>
        </w:rPr>
        <w:t>商务偏差表</w:t>
      </w:r>
      <w:bookmarkEnd w:id="107"/>
    </w:p>
    <w:p w14:paraId="1053A27B">
      <w:pPr>
        <w:pStyle w:val="8"/>
        <w:numPr>
          <w:ilvl w:val="0"/>
          <w:numId w:val="0"/>
        </w:numPr>
        <w:rPr>
          <w:highlight w:val="none"/>
        </w:rPr>
      </w:pPr>
    </w:p>
    <w:p w14:paraId="47002F96">
      <w:pPr>
        <w:spacing w:line="30" w:lineRule="exact"/>
        <w:rPr>
          <w:highlight w:val="none"/>
        </w:rPr>
      </w:pPr>
    </w:p>
    <w:tbl>
      <w:tblPr>
        <w:tblStyle w:val="22"/>
        <w:tblW w:w="9645" w:type="dxa"/>
        <w:tblInd w:w="11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2382"/>
        <w:gridCol w:w="2593"/>
        <w:gridCol w:w="3955"/>
      </w:tblGrid>
      <w:tr w14:paraId="6F301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15" w:type="dxa"/>
            <w:vAlign w:val="top"/>
          </w:tcPr>
          <w:p w14:paraId="43BA88E2">
            <w:pPr>
              <w:pStyle w:val="23"/>
              <w:spacing w:before="108" w:line="223" w:lineRule="auto"/>
              <w:ind w:left="213"/>
              <w:rPr>
                <w:highlight w:val="none"/>
              </w:rPr>
            </w:pPr>
            <w:r>
              <w:rPr>
                <w:spacing w:val="-2"/>
                <w:highlight w:val="none"/>
              </w:rPr>
              <w:t>序号</w:t>
            </w:r>
          </w:p>
        </w:tc>
        <w:tc>
          <w:tcPr>
            <w:tcW w:w="2382" w:type="dxa"/>
            <w:vAlign w:val="top"/>
          </w:tcPr>
          <w:p w14:paraId="6E6B6041">
            <w:pPr>
              <w:pStyle w:val="23"/>
              <w:spacing w:before="108" w:line="221" w:lineRule="auto"/>
              <w:ind w:left="215"/>
              <w:rPr>
                <w:highlight w:val="none"/>
              </w:rPr>
            </w:pPr>
            <w:r>
              <w:rPr>
                <w:spacing w:val="-4"/>
                <w:highlight w:val="none"/>
              </w:rPr>
              <w:t>招标文件章节及条款号</w:t>
            </w:r>
          </w:p>
        </w:tc>
        <w:tc>
          <w:tcPr>
            <w:tcW w:w="2593" w:type="dxa"/>
            <w:vAlign w:val="top"/>
          </w:tcPr>
          <w:p w14:paraId="4A62AFE1">
            <w:pPr>
              <w:pStyle w:val="23"/>
              <w:spacing w:before="108" w:line="221" w:lineRule="auto"/>
              <w:ind w:left="331"/>
              <w:rPr>
                <w:highlight w:val="none"/>
              </w:rPr>
            </w:pPr>
            <w:r>
              <w:rPr>
                <w:spacing w:val="-4"/>
                <w:highlight w:val="none"/>
              </w:rPr>
              <w:t>投标文件章节及条款号</w:t>
            </w:r>
          </w:p>
        </w:tc>
        <w:tc>
          <w:tcPr>
            <w:tcW w:w="3955" w:type="dxa"/>
            <w:vAlign w:val="top"/>
          </w:tcPr>
          <w:p w14:paraId="6A25433C">
            <w:pPr>
              <w:pStyle w:val="23"/>
              <w:spacing w:before="109" w:line="221" w:lineRule="auto"/>
              <w:ind w:left="1563"/>
              <w:rPr>
                <w:highlight w:val="none"/>
              </w:rPr>
            </w:pPr>
            <w:r>
              <w:rPr>
                <w:spacing w:val="-2"/>
                <w:highlight w:val="none"/>
              </w:rPr>
              <w:t>偏差说明</w:t>
            </w:r>
          </w:p>
        </w:tc>
      </w:tr>
      <w:tr w14:paraId="1CA53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15" w:type="dxa"/>
            <w:vAlign w:val="top"/>
          </w:tcPr>
          <w:p w14:paraId="4DBF64BC">
            <w:pPr>
              <w:rPr>
                <w:rFonts w:ascii="Arial"/>
                <w:sz w:val="21"/>
                <w:highlight w:val="none"/>
              </w:rPr>
            </w:pPr>
          </w:p>
        </w:tc>
        <w:tc>
          <w:tcPr>
            <w:tcW w:w="2382" w:type="dxa"/>
            <w:vAlign w:val="top"/>
          </w:tcPr>
          <w:p w14:paraId="557D1489">
            <w:pPr>
              <w:rPr>
                <w:rFonts w:ascii="Arial"/>
                <w:sz w:val="21"/>
                <w:highlight w:val="none"/>
              </w:rPr>
            </w:pPr>
          </w:p>
        </w:tc>
        <w:tc>
          <w:tcPr>
            <w:tcW w:w="2593" w:type="dxa"/>
            <w:vAlign w:val="top"/>
          </w:tcPr>
          <w:p w14:paraId="68511D27">
            <w:pPr>
              <w:rPr>
                <w:rFonts w:ascii="Arial"/>
                <w:sz w:val="21"/>
                <w:highlight w:val="none"/>
              </w:rPr>
            </w:pPr>
          </w:p>
        </w:tc>
        <w:tc>
          <w:tcPr>
            <w:tcW w:w="3955" w:type="dxa"/>
            <w:vAlign w:val="top"/>
          </w:tcPr>
          <w:p w14:paraId="6F4A965F">
            <w:pPr>
              <w:rPr>
                <w:rFonts w:ascii="Arial"/>
                <w:sz w:val="21"/>
                <w:highlight w:val="none"/>
              </w:rPr>
            </w:pPr>
          </w:p>
        </w:tc>
      </w:tr>
      <w:tr w14:paraId="7116B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15" w:type="dxa"/>
            <w:vAlign w:val="top"/>
          </w:tcPr>
          <w:p w14:paraId="0BE2D079">
            <w:pPr>
              <w:rPr>
                <w:rFonts w:ascii="Arial"/>
                <w:sz w:val="21"/>
                <w:highlight w:val="none"/>
              </w:rPr>
            </w:pPr>
          </w:p>
        </w:tc>
        <w:tc>
          <w:tcPr>
            <w:tcW w:w="2382" w:type="dxa"/>
            <w:vAlign w:val="top"/>
          </w:tcPr>
          <w:p w14:paraId="5953D033">
            <w:pPr>
              <w:rPr>
                <w:rFonts w:ascii="Arial"/>
                <w:sz w:val="21"/>
                <w:highlight w:val="none"/>
              </w:rPr>
            </w:pPr>
          </w:p>
        </w:tc>
        <w:tc>
          <w:tcPr>
            <w:tcW w:w="2593" w:type="dxa"/>
            <w:vAlign w:val="top"/>
          </w:tcPr>
          <w:p w14:paraId="6E78DE13">
            <w:pPr>
              <w:rPr>
                <w:rFonts w:ascii="Arial"/>
                <w:sz w:val="21"/>
                <w:highlight w:val="none"/>
              </w:rPr>
            </w:pPr>
          </w:p>
        </w:tc>
        <w:tc>
          <w:tcPr>
            <w:tcW w:w="3955" w:type="dxa"/>
            <w:vAlign w:val="top"/>
          </w:tcPr>
          <w:p w14:paraId="777D1704">
            <w:pPr>
              <w:rPr>
                <w:rFonts w:ascii="Arial"/>
                <w:sz w:val="21"/>
                <w:highlight w:val="none"/>
              </w:rPr>
            </w:pPr>
          </w:p>
        </w:tc>
      </w:tr>
      <w:tr w14:paraId="259CC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15" w:type="dxa"/>
            <w:vAlign w:val="top"/>
          </w:tcPr>
          <w:p w14:paraId="42D66249">
            <w:pPr>
              <w:rPr>
                <w:rFonts w:ascii="Arial"/>
                <w:sz w:val="21"/>
                <w:highlight w:val="none"/>
              </w:rPr>
            </w:pPr>
          </w:p>
        </w:tc>
        <w:tc>
          <w:tcPr>
            <w:tcW w:w="2382" w:type="dxa"/>
            <w:vAlign w:val="top"/>
          </w:tcPr>
          <w:p w14:paraId="05E98179">
            <w:pPr>
              <w:rPr>
                <w:rFonts w:ascii="Arial"/>
                <w:sz w:val="21"/>
                <w:highlight w:val="none"/>
              </w:rPr>
            </w:pPr>
          </w:p>
        </w:tc>
        <w:tc>
          <w:tcPr>
            <w:tcW w:w="2593" w:type="dxa"/>
            <w:vAlign w:val="top"/>
          </w:tcPr>
          <w:p w14:paraId="2E80F24B">
            <w:pPr>
              <w:rPr>
                <w:rFonts w:ascii="Arial"/>
                <w:sz w:val="21"/>
                <w:highlight w:val="none"/>
              </w:rPr>
            </w:pPr>
          </w:p>
        </w:tc>
        <w:tc>
          <w:tcPr>
            <w:tcW w:w="3955" w:type="dxa"/>
            <w:vAlign w:val="top"/>
          </w:tcPr>
          <w:p w14:paraId="4257EA31">
            <w:pPr>
              <w:rPr>
                <w:rFonts w:ascii="Arial"/>
                <w:sz w:val="21"/>
                <w:highlight w:val="none"/>
              </w:rPr>
            </w:pPr>
          </w:p>
        </w:tc>
      </w:tr>
      <w:tr w14:paraId="44951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15" w:type="dxa"/>
            <w:vAlign w:val="top"/>
          </w:tcPr>
          <w:p w14:paraId="269B2D86">
            <w:pPr>
              <w:rPr>
                <w:rFonts w:ascii="Arial"/>
                <w:sz w:val="21"/>
                <w:highlight w:val="none"/>
              </w:rPr>
            </w:pPr>
          </w:p>
        </w:tc>
        <w:tc>
          <w:tcPr>
            <w:tcW w:w="2382" w:type="dxa"/>
            <w:vAlign w:val="top"/>
          </w:tcPr>
          <w:p w14:paraId="403842DB">
            <w:pPr>
              <w:rPr>
                <w:rFonts w:ascii="Arial"/>
                <w:sz w:val="21"/>
                <w:highlight w:val="none"/>
              </w:rPr>
            </w:pPr>
          </w:p>
        </w:tc>
        <w:tc>
          <w:tcPr>
            <w:tcW w:w="2593" w:type="dxa"/>
            <w:vAlign w:val="top"/>
          </w:tcPr>
          <w:p w14:paraId="487DF298">
            <w:pPr>
              <w:rPr>
                <w:rFonts w:ascii="Arial"/>
                <w:sz w:val="21"/>
                <w:highlight w:val="none"/>
              </w:rPr>
            </w:pPr>
          </w:p>
        </w:tc>
        <w:tc>
          <w:tcPr>
            <w:tcW w:w="3955" w:type="dxa"/>
            <w:vAlign w:val="top"/>
          </w:tcPr>
          <w:p w14:paraId="53C4EA0F">
            <w:pPr>
              <w:rPr>
                <w:rFonts w:ascii="Arial"/>
                <w:sz w:val="21"/>
                <w:highlight w:val="none"/>
              </w:rPr>
            </w:pPr>
          </w:p>
        </w:tc>
      </w:tr>
      <w:tr w14:paraId="020B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5" w:type="dxa"/>
            <w:vAlign w:val="top"/>
          </w:tcPr>
          <w:p w14:paraId="41DB8BEF">
            <w:pPr>
              <w:rPr>
                <w:rFonts w:ascii="Arial"/>
                <w:sz w:val="21"/>
                <w:highlight w:val="none"/>
              </w:rPr>
            </w:pPr>
          </w:p>
        </w:tc>
        <w:tc>
          <w:tcPr>
            <w:tcW w:w="2382" w:type="dxa"/>
            <w:vAlign w:val="top"/>
          </w:tcPr>
          <w:p w14:paraId="03F94D14">
            <w:pPr>
              <w:rPr>
                <w:rFonts w:ascii="Arial"/>
                <w:sz w:val="21"/>
                <w:highlight w:val="none"/>
              </w:rPr>
            </w:pPr>
          </w:p>
        </w:tc>
        <w:tc>
          <w:tcPr>
            <w:tcW w:w="2593" w:type="dxa"/>
            <w:vAlign w:val="top"/>
          </w:tcPr>
          <w:p w14:paraId="135770EA">
            <w:pPr>
              <w:rPr>
                <w:rFonts w:ascii="Arial"/>
                <w:sz w:val="21"/>
                <w:highlight w:val="none"/>
              </w:rPr>
            </w:pPr>
          </w:p>
        </w:tc>
        <w:tc>
          <w:tcPr>
            <w:tcW w:w="3955" w:type="dxa"/>
            <w:vAlign w:val="top"/>
          </w:tcPr>
          <w:p w14:paraId="3D5E55B6">
            <w:pPr>
              <w:rPr>
                <w:rFonts w:ascii="Arial"/>
                <w:sz w:val="21"/>
                <w:highlight w:val="none"/>
              </w:rPr>
            </w:pPr>
          </w:p>
        </w:tc>
      </w:tr>
    </w:tbl>
    <w:p w14:paraId="1D104933">
      <w:pPr>
        <w:pStyle w:val="8"/>
        <w:spacing w:before="29" w:line="360" w:lineRule="auto"/>
        <w:ind w:left="1812" w:right="1903" w:firstLine="418"/>
        <w:rPr>
          <w:sz w:val="21"/>
          <w:szCs w:val="21"/>
          <w:highlight w:val="none"/>
        </w:rPr>
      </w:pPr>
      <w:r>
        <w:rPr>
          <w:sz w:val="21"/>
          <w:szCs w:val="21"/>
          <w:highlight w:val="none"/>
        </w:rPr>
        <w:t>投标人保证：除商务偏差表列出的偏差外，投标人响应招标文件（除第</w:t>
      </w:r>
      <w:r>
        <w:rPr>
          <w:spacing w:val="-1"/>
          <w:sz w:val="21"/>
          <w:szCs w:val="21"/>
          <w:highlight w:val="none"/>
        </w:rPr>
        <w:t>六章供货要求</w:t>
      </w:r>
      <w:r>
        <w:rPr>
          <w:sz w:val="21"/>
          <w:szCs w:val="21"/>
          <w:highlight w:val="none"/>
        </w:rPr>
        <w:t xml:space="preserve"> </w:t>
      </w:r>
      <w:r>
        <w:rPr>
          <w:spacing w:val="-2"/>
          <w:sz w:val="21"/>
          <w:szCs w:val="21"/>
          <w:highlight w:val="none"/>
        </w:rPr>
        <w:t>外）的全部要求。</w:t>
      </w:r>
    </w:p>
    <w:p w14:paraId="30010E11">
      <w:pPr>
        <w:pStyle w:val="8"/>
        <w:spacing w:line="225" w:lineRule="auto"/>
        <w:ind w:left="2230"/>
        <w:rPr>
          <w:sz w:val="21"/>
          <w:szCs w:val="21"/>
          <w:highlight w:val="none"/>
        </w:rPr>
      </w:pPr>
      <w:r>
        <w:rPr>
          <w:b/>
          <w:bCs/>
          <w:spacing w:val="-16"/>
          <w:sz w:val="21"/>
          <w:szCs w:val="21"/>
          <w:highlight w:val="none"/>
        </w:rPr>
        <w:t>注：</w:t>
      </w:r>
    </w:p>
    <w:p w14:paraId="39D05E53">
      <w:pPr>
        <w:pStyle w:val="8"/>
        <w:spacing w:before="149" w:line="325" w:lineRule="auto"/>
        <w:ind w:left="1808" w:right="1922" w:firstLine="438"/>
        <w:rPr>
          <w:sz w:val="21"/>
          <w:szCs w:val="21"/>
          <w:highlight w:val="none"/>
        </w:rPr>
      </w:pPr>
      <w:r>
        <w:rPr>
          <w:b/>
          <w:bCs/>
          <w:spacing w:val="-2"/>
          <w:sz w:val="21"/>
          <w:szCs w:val="21"/>
          <w:highlight w:val="none"/>
        </w:rPr>
        <w:t>1、投标人要将投标文件和招标文件的差异之处汇集成表。投标文件对招标</w:t>
      </w:r>
      <w:r>
        <w:rPr>
          <w:b/>
          <w:bCs/>
          <w:spacing w:val="-3"/>
          <w:sz w:val="21"/>
          <w:szCs w:val="21"/>
          <w:highlight w:val="none"/>
        </w:rPr>
        <w:t>文件未提</w:t>
      </w:r>
      <w:r>
        <w:rPr>
          <w:sz w:val="21"/>
          <w:szCs w:val="21"/>
          <w:highlight w:val="none"/>
        </w:rPr>
        <w:t xml:space="preserve">  </w:t>
      </w:r>
      <w:r>
        <w:rPr>
          <w:b/>
          <w:bCs/>
          <w:spacing w:val="-3"/>
          <w:sz w:val="21"/>
          <w:szCs w:val="21"/>
          <w:highlight w:val="none"/>
        </w:rPr>
        <w:t>出异议的条款，均被视为接受和同意。投标文件与招标文件有差异之处，无论多么微小，</w:t>
      </w:r>
      <w:r>
        <w:rPr>
          <w:spacing w:val="8"/>
          <w:sz w:val="21"/>
          <w:szCs w:val="21"/>
          <w:highlight w:val="none"/>
        </w:rPr>
        <w:t xml:space="preserve"> </w:t>
      </w:r>
      <w:r>
        <w:rPr>
          <w:b/>
          <w:bCs/>
          <w:spacing w:val="-3"/>
          <w:sz w:val="21"/>
          <w:szCs w:val="21"/>
          <w:highlight w:val="none"/>
        </w:rPr>
        <w:t>均应按招标文件格式要求统一汇总说明，并标注：“正偏差”或“负偏差”。如无偏差，</w:t>
      </w:r>
      <w:r>
        <w:rPr>
          <w:spacing w:val="8"/>
          <w:sz w:val="21"/>
          <w:szCs w:val="21"/>
          <w:highlight w:val="none"/>
        </w:rPr>
        <w:t xml:space="preserve"> </w:t>
      </w:r>
      <w:r>
        <w:rPr>
          <w:b/>
          <w:bCs/>
          <w:spacing w:val="-6"/>
          <w:sz w:val="21"/>
          <w:szCs w:val="21"/>
          <w:highlight w:val="none"/>
        </w:rPr>
        <w:t>应标注：“无”。</w:t>
      </w:r>
    </w:p>
    <w:p w14:paraId="0B044694">
      <w:pPr>
        <w:pStyle w:val="8"/>
        <w:spacing w:before="158" w:line="290" w:lineRule="auto"/>
        <w:ind w:left="1813" w:right="1885" w:firstLine="524"/>
        <w:rPr>
          <w:sz w:val="21"/>
          <w:szCs w:val="21"/>
          <w:highlight w:val="none"/>
        </w:rPr>
      </w:pPr>
      <w:r>
        <w:rPr>
          <w:b/>
          <w:bCs/>
          <w:spacing w:val="-2"/>
          <w:sz w:val="21"/>
          <w:szCs w:val="21"/>
          <w:highlight w:val="none"/>
        </w:rPr>
        <w:t>2、对于投标人提出的上述差异，如存在重大偏离，导致招标人无法接受，则有可能</w:t>
      </w:r>
      <w:r>
        <w:rPr>
          <w:spacing w:val="1"/>
          <w:sz w:val="21"/>
          <w:szCs w:val="21"/>
          <w:highlight w:val="none"/>
        </w:rPr>
        <w:t xml:space="preserve"> </w:t>
      </w:r>
      <w:r>
        <w:rPr>
          <w:b/>
          <w:bCs/>
          <w:spacing w:val="-3"/>
          <w:sz w:val="21"/>
          <w:szCs w:val="21"/>
          <w:highlight w:val="none"/>
        </w:rPr>
        <w:t>导致其投标被否决。</w:t>
      </w:r>
    </w:p>
    <w:p w14:paraId="345DC7C2">
      <w:pPr>
        <w:spacing w:line="468" w:lineRule="auto"/>
        <w:rPr>
          <w:rFonts w:ascii="Arial"/>
          <w:sz w:val="21"/>
          <w:highlight w:val="none"/>
        </w:rPr>
      </w:pPr>
    </w:p>
    <w:p w14:paraId="3F073136">
      <w:pPr>
        <w:pStyle w:val="8"/>
        <w:spacing w:before="69" w:line="221" w:lineRule="auto"/>
        <w:ind w:left="6063"/>
        <w:rPr>
          <w:sz w:val="21"/>
          <w:szCs w:val="21"/>
          <w:highlight w:val="none"/>
        </w:rPr>
      </w:pPr>
      <w:r>
        <w:rPr>
          <w:spacing w:val="-6"/>
          <w:sz w:val="21"/>
          <w:szCs w:val="21"/>
          <w:highlight w:val="none"/>
        </w:rPr>
        <w:t>投标人：</w:t>
      </w:r>
      <w:r>
        <w:rPr>
          <w:spacing w:val="-6"/>
          <w:sz w:val="21"/>
          <w:szCs w:val="21"/>
          <w:highlight w:val="none"/>
          <w:u w:val="single" w:color="auto"/>
        </w:rPr>
        <w:t xml:space="preserve">               </w:t>
      </w:r>
      <w:r>
        <w:rPr>
          <w:spacing w:val="-61"/>
          <w:sz w:val="21"/>
          <w:szCs w:val="21"/>
          <w:highlight w:val="none"/>
        </w:rPr>
        <w:t xml:space="preserve"> </w:t>
      </w:r>
      <w:r>
        <w:rPr>
          <w:spacing w:val="-6"/>
          <w:sz w:val="21"/>
          <w:szCs w:val="21"/>
          <w:highlight w:val="none"/>
        </w:rPr>
        <w:t>(盖单位章)</w:t>
      </w:r>
    </w:p>
    <w:p w14:paraId="208EACE4">
      <w:pPr>
        <w:spacing w:line="325" w:lineRule="auto"/>
        <w:rPr>
          <w:rFonts w:ascii="Arial"/>
          <w:sz w:val="21"/>
          <w:highlight w:val="none"/>
        </w:rPr>
      </w:pPr>
    </w:p>
    <w:p w14:paraId="78573037">
      <w:pPr>
        <w:spacing w:line="326" w:lineRule="auto"/>
        <w:rPr>
          <w:rFonts w:ascii="Arial"/>
          <w:sz w:val="21"/>
          <w:highlight w:val="none"/>
        </w:rPr>
      </w:pPr>
    </w:p>
    <w:p w14:paraId="00D48B33">
      <w:pPr>
        <w:pStyle w:val="8"/>
        <w:tabs>
          <w:tab w:val="left" w:pos="7967"/>
        </w:tabs>
        <w:spacing w:before="69" w:line="221" w:lineRule="auto"/>
        <w:ind w:left="7464"/>
        <w:rPr>
          <w:sz w:val="21"/>
          <w:szCs w:val="21"/>
          <w:highlight w:val="none"/>
        </w:rPr>
        <w:sectPr>
          <w:footerReference r:id="rId17" w:type="default"/>
          <w:pgSz w:w="11900" w:h="16841"/>
          <w:pgMar w:top="400" w:right="0" w:bottom="1292" w:left="0" w:header="0" w:footer="1057" w:gutter="0"/>
          <w:pgNumType w:fmt="decimal"/>
          <w:cols w:space="720" w:num="1"/>
        </w:sectPr>
      </w:pPr>
      <w:r>
        <w:rPr>
          <w:sz w:val="21"/>
          <w:szCs w:val="21"/>
          <w:highlight w:val="none"/>
          <w:u w:val="single" w:color="auto"/>
        </w:rPr>
        <w:tab/>
      </w:r>
      <w:r>
        <w:rPr>
          <w:spacing w:val="-97"/>
          <w:sz w:val="21"/>
          <w:szCs w:val="21"/>
          <w:highlight w:val="none"/>
        </w:rPr>
        <w:t xml:space="preserve"> </w:t>
      </w:r>
      <w:r>
        <w:rPr>
          <w:spacing w:val="-7"/>
          <w:sz w:val="21"/>
          <w:szCs w:val="21"/>
          <w:highlight w:val="none"/>
        </w:rPr>
        <w:t>年</w:t>
      </w:r>
      <w:r>
        <w:rPr>
          <w:spacing w:val="28"/>
          <w:sz w:val="21"/>
          <w:szCs w:val="21"/>
          <w:highlight w:val="none"/>
          <w:u w:val="single" w:color="auto"/>
        </w:rPr>
        <w:t xml:space="preserve">   </w:t>
      </w:r>
      <w:r>
        <w:rPr>
          <w:spacing w:val="-92"/>
          <w:sz w:val="21"/>
          <w:szCs w:val="21"/>
          <w:highlight w:val="none"/>
        </w:rPr>
        <w:t xml:space="preserve"> </w:t>
      </w:r>
      <w:r>
        <w:rPr>
          <w:spacing w:val="-7"/>
          <w:sz w:val="21"/>
          <w:szCs w:val="21"/>
          <w:highlight w:val="none"/>
        </w:rPr>
        <w:t>月</w:t>
      </w:r>
      <w:r>
        <w:rPr>
          <w:spacing w:val="28"/>
          <w:sz w:val="21"/>
          <w:szCs w:val="21"/>
          <w:highlight w:val="none"/>
          <w:u w:val="single" w:color="auto"/>
        </w:rPr>
        <w:t xml:space="preserve">   </w:t>
      </w:r>
      <w:r>
        <w:rPr>
          <w:spacing w:val="-61"/>
          <w:sz w:val="21"/>
          <w:szCs w:val="21"/>
          <w:highlight w:val="none"/>
        </w:rPr>
        <w:t xml:space="preserve"> </w:t>
      </w:r>
    </w:p>
    <w:p w14:paraId="3B065F9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b/>
          <w:bCs/>
          <w:sz w:val="30"/>
          <w:szCs w:val="30"/>
          <w:highlight w:val="none"/>
          <w:lang w:val="en-US" w:eastAsia="zh-CN"/>
        </w:rPr>
      </w:pPr>
    </w:p>
    <w:p w14:paraId="1F8A8548">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jc w:val="center"/>
        <w:textAlignment w:val="auto"/>
        <w:rPr>
          <w:rFonts w:hint="default" w:ascii="仿宋" w:hAnsi="仿宋" w:eastAsia="仿宋" w:cs="仿宋"/>
          <w:b/>
          <w:bCs/>
          <w:color w:val="auto"/>
          <w:sz w:val="30"/>
          <w:szCs w:val="30"/>
          <w:highlight w:val="none"/>
          <w:lang w:val="en-US" w:eastAsia="zh-CN"/>
        </w:rPr>
      </w:pPr>
      <w:r>
        <w:rPr>
          <w:rFonts w:hint="eastAsia" w:ascii="仿宋" w:hAnsi="仿宋" w:eastAsia="仿宋" w:cs="仿宋"/>
          <w:b/>
          <w:bCs/>
          <w:sz w:val="30"/>
          <w:szCs w:val="30"/>
          <w:highlight w:val="none"/>
          <w:lang w:val="en-US" w:eastAsia="zh-CN"/>
        </w:rPr>
        <w:t>14</w:t>
      </w:r>
      <w:r>
        <w:rPr>
          <w:rFonts w:hint="eastAsia" w:ascii="仿宋" w:hAnsi="仿宋" w:eastAsia="仿宋" w:cs="仿宋"/>
          <w:b/>
          <w:bCs/>
          <w:color w:val="auto"/>
          <w:sz w:val="30"/>
          <w:szCs w:val="30"/>
          <w:highlight w:val="none"/>
          <w:lang w:val="en-US" w:eastAsia="zh-CN"/>
        </w:rPr>
        <w:t>.</w:t>
      </w:r>
      <w:r>
        <w:rPr>
          <w:rFonts w:hint="eastAsia" w:ascii="仿宋" w:hAnsi="仿宋" w:eastAsia="仿宋" w:cs="仿宋"/>
          <w:spacing w:val="-2"/>
          <w:sz w:val="30"/>
          <w:szCs w:val="30"/>
          <w:highlight w:val="none"/>
          <w:lang w:val="en-US" w:eastAsia="zh-CN"/>
        </w:rPr>
        <w:t>方案深化设计</w:t>
      </w:r>
    </w:p>
    <w:p w14:paraId="0D114382">
      <w:pPr>
        <w:pageBreakBefore w:val="0"/>
        <w:numPr>
          <w:ilvl w:val="0"/>
          <w:numId w:val="0"/>
        </w:numPr>
        <w:shd w:val="clear"/>
        <w:kinsoku/>
        <w:wordWrap/>
        <w:overflowPunct/>
        <w:autoSpaceDE/>
        <w:autoSpaceDN/>
        <w:bidi w:val="0"/>
        <w:adjustRightInd w:val="0"/>
        <w:snapToGrid w:val="0"/>
        <w:spacing w:before="120" w:beforeLines="50" w:after="100" w:afterAutospacing="1" w:line="360" w:lineRule="auto"/>
        <w:jc w:val="both"/>
        <w:textAlignment w:val="auto"/>
        <w:rPr>
          <w:rFonts w:hint="eastAsia" w:ascii="微软雅黑" w:hAnsi="微软雅黑" w:eastAsia="微软雅黑" w:cs="微软雅黑"/>
          <w:b w:val="0"/>
          <w:bCs w:val="0"/>
          <w:sz w:val="21"/>
          <w:szCs w:val="21"/>
          <w:highlight w:val="none"/>
          <w:lang w:val="en-US" w:eastAsia="zh-CN"/>
        </w:rPr>
      </w:pPr>
    </w:p>
    <w:p w14:paraId="30DFC99B">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微软雅黑" w:hAnsi="微软雅黑" w:eastAsia="微软雅黑" w:cs="微软雅黑"/>
          <w:sz w:val="21"/>
          <w:szCs w:val="21"/>
          <w:highlight w:val="none"/>
          <w:lang w:val="en-US" w:eastAsia="zh-CN"/>
        </w:rPr>
      </w:pPr>
    </w:p>
    <w:p w14:paraId="190E9646">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微软雅黑" w:hAnsi="微软雅黑" w:eastAsia="微软雅黑" w:cs="微软雅黑"/>
          <w:sz w:val="21"/>
          <w:szCs w:val="21"/>
          <w:highlight w:val="none"/>
          <w:lang w:val="en-US" w:eastAsia="zh-CN"/>
        </w:rPr>
      </w:pPr>
    </w:p>
    <w:p w14:paraId="35AFC399">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微软雅黑" w:hAnsi="微软雅黑" w:eastAsia="微软雅黑" w:cs="微软雅黑"/>
          <w:sz w:val="21"/>
          <w:szCs w:val="21"/>
          <w:highlight w:val="none"/>
          <w:lang w:val="en-US" w:eastAsia="zh-CN"/>
        </w:rPr>
      </w:pPr>
    </w:p>
    <w:p w14:paraId="72CD0BC9">
      <w:pPr>
        <w:pStyle w:val="4"/>
        <w:rPr>
          <w:rFonts w:hint="eastAsia" w:ascii="微软雅黑" w:hAnsi="微软雅黑" w:eastAsia="微软雅黑" w:cs="微软雅黑"/>
          <w:sz w:val="21"/>
          <w:szCs w:val="21"/>
          <w:highlight w:val="none"/>
          <w:lang w:val="en-US" w:eastAsia="zh-CN"/>
        </w:rPr>
      </w:pPr>
    </w:p>
    <w:p w14:paraId="6A2B87FA">
      <w:pPr>
        <w:pStyle w:val="8"/>
        <w:spacing w:before="135" w:line="234" w:lineRule="auto"/>
        <w:ind w:left="429"/>
        <w:rPr>
          <w:rFonts w:hint="eastAsia"/>
          <w:spacing w:val="-2"/>
          <w:sz w:val="21"/>
          <w:szCs w:val="21"/>
          <w:highlight w:val="none"/>
          <w:lang w:val="en-US" w:eastAsia="zh-CN"/>
        </w:rPr>
      </w:pPr>
    </w:p>
    <w:p w14:paraId="039559A0">
      <w:pPr>
        <w:pStyle w:val="8"/>
        <w:spacing w:before="135" w:line="234" w:lineRule="auto"/>
        <w:ind w:left="429"/>
        <w:rPr>
          <w:rFonts w:hint="eastAsia"/>
          <w:spacing w:val="-2"/>
          <w:sz w:val="21"/>
          <w:szCs w:val="21"/>
          <w:highlight w:val="none"/>
          <w:lang w:val="en-US" w:eastAsia="zh-CN"/>
        </w:rPr>
      </w:pPr>
    </w:p>
    <w:p w14:paraId="3F788860">
      <w:pPr>
        <w:pStyle w:val="8"/>
        <w:spacing w:before="135" w:line="234" w:lineRule="auto"/>
        <w:ind w:left="429"/>
        <w:rPr>
          <w:rFonts w:hint="eastAsia"/>
          <w:spacing w:val="-2"/>
          <w:sz w:val="21"/>
          <w:szCs w:val="21"/>
          <w:highlight w:val="none"/>
          <w:lang w:val="en-US" w:eastAsia="zh-CN"/>
        </w:rPr>
      </w:pPr>
    </w:p>
    <w:p w14:paraId="73780562">
      <w:pPr>
        <w:pStyle w:val="8"/>
        <w:spacing w:before="135" w:line="234" w:lineRule="auto"/>
        <w:ind w:left="429"/>
        <w:rPr>
          <w:rFonts w:hint="eastAsia"/>
          <w:spacing w:val="-2"/>
          <w:sz w:val="21"/>
          <w:szCs w:val="21"/>
          <w:highlight w:val="none"/>
          <w:lang w:val="en-US" w:eastAsia="zh-CN"/>
        </w:rPr>
      </w:pPr>
    </w:p>
    <w:p w14:paraId="5972866C">
      <w:pPr>
        <w:pStyle w:val="8"/>
        <w:spacing w:before="135" w:line="234" w:lineRule="auto"/>
        <w:ind w:left="429"/>
        <w:rPr>
          <w:rFonts w:hint="eastAsia"/>
          <w:spacing w:val="-2"/>
          <w:sz w:val="21"/>
          <w:szCs w:val="21"/>
          <w:highlight w:val="none"/>
          <w:lang w:val="en-US" w:eastAsia="zh-CN"/>
        </w:rPr>
      </w:pPr>
    </w:p>
    <w:p w14:paraId="7383E9CC">
      <w:pPr>
        <w:pStyle w:val="8"/>
        <w:spacing w:before="135" w:line="234" w:lineRule="auto"/>
        <w:ind w:left="429"/>
        <w:rPr>
          <w:rFonts w:hint="eastAsia"/>
          <w:spacing w:val="-2"/>
          <w:sz w:val="21"/>
          <w:szCs w:val="21"/>
          <w:highlight w:val="none"/>
          <w:lang w:val="en-US" w:eastAsia="zh-CN"/>
        </w:rPr>
      </w:pPr>
    </w:p>
    <w:p w14:paraId="667FC8C2">
      <w:pPr>
        <w:pStyle w:val="8"/>
        <w:spacing w:before="135" w:line="234" w:lineRule="auto"/>
        <w:ind w:left="429"/>
        <w:rPr>
          <w:rFonts w:hint="eastAsia"/>
          <w:spacing w:val="-2"/>
          <w:sz w:val="21"/>
          <w:szCs w:val="21"/>
          <w:highlight w:val="none"/>
          <w:lang w:val="en-US" w:eastAsia="zh-CN"/>
        </w:rPr>
      </w:pPr>
    </w:p>
    <w:p w14:paraId="672010F5">
      <w:pPr>
        <w:pStyle w:val="8"/>
        <w:spacing w:before="135" w:line="234" w:lineRule="auto"/>
        <w:ind w:left="429"/>
        <w:rPr>
          <w:rFonts w:hint="eastAsia"/>
          <w:spacing w:val="-2"/>
          <w:sz w:val="21"/>
          <w:szCs w:val="21"/>
          <w:highlight w:val="none"/>
          <w:lang w:val="en-US" w:eastAsia="zh-CN"/>
        </w:rPr>
      </w:pPr>
    </w:p>
    <w:p w14:paraId="7989F880">
      <w:pPr>
        <w:pStyle w:val="8"/>
        <w:spacing w:before="135" w:line="234" w:lineRule="auto"/>
        <w:ind w:left="429"/>
        <w:rPr>
          <w:rFonts w:hint="eastAsia"/>
          <w:spacing w:val="-2"/>
          <w:sz w:val="21"/>
          <w:szCs w:val="21"/>
          <w:highlight w:val="none"/>
          <w:lang w:val="en-US" w:eastAsia="zh-CN"/>
        </w:rPr>
      </w:pPr>
    </w:p>
    <w:p w14:paraId="512BED75">
      <w:pPr>
        <w:pStyle w:val="8"/>
        <w:spacing w:before="135" w:line="234" w:lineRule="auto"/>
        <w:ind w:left="429"/>
        <w:rPr>
          <w:rFonts w:hint="eastAsia"/>
          <w:spacing w:val="-2"/>
          <w:sz w:val="21"/>
          <w:szCs w:val="21"/>
          <w:highlight w:val="none"/>
          <w:lang w:val="en-US" w:eastAsia="zh-CN"/>
        </w:rPr>
      </w:pPr>
    </w:p>
    <w:p w14:paraId="3573C7A8">
      <w:pPr>
        <w:pStyle w:val="8"/>
        <w:spacing w:before="135" w:line="234" w:lineRule="auto"/>
        <w:ind w:left="429"/>
        <w:rPr>
          <w:rFonts w:hint="eastAsia"/>
          <w:spacing w:val="-2"/>
          <w:sz w:val="21"/>
          <w:szCs w:val="21"/>
          <w:highlight w:val="none"/>
          <w:lang w:val="en-US" w:eastAsia="zh-CN"/>
        </w:rPr>
      </w:pPr>
    </w:p>
    <w:p w14:paraId="006F001D">
      <w:pPr>
        <w:pStyle w:val="8"/>
        <w:spacing w:before="135" w:line="234" w:lineRule="auto"/>
        <w:ind w:left="429"/>
        <w:rPr>
          <w:rFonts w:hint="eastAsia"/>
          <w:spacing w:val="-2"/>
          <w:sz w:val="21"/>
          <w:szCs w:val="21"/>
          <w:highlight w:val="none"/>
          <w:lang w:val="en-US" w:eastAsia="zh-CN"/>
        </w:rPr>
      </w:pPr>
    </w:p>
    <w:p w14:paraId="16232D9F">
      <w:pPr>
        <w:pStyle w:val="8"/>
        <w:spacing w:before="135" w:line="234" w:lineRule="auto"/>
        <w:ind w:left="429"/>
        <w:rPr>
          <w:rFonts w:hint="eastAsia"/>
          <w:spacing w:val="-2"/>
          <w:sz w:val="21"/>
          <w:szCs w:val="21"/>
          <w:highlight w:val="none"/>
          <w:lang w:val="en-US" w:eastAsia="zh-CN"/>
        </w:rPr>
      </w:pPr>
    </w:p>
    <w:p w14:paraId="06398128">
      <w:pPr>
        <w:pStyle w:val="8"/>
        <w:spacing w:before="135" w:line="234" w:lineRule="auto"/>
        <w:ind w:left="429"/>
        <w:rPr>
          <w:rFonts w:hint="eastAsia"/>
          <w:spacing w:val="-2"/>
          <w:sz w:val="21"/>
          <w:szCs w:val="21"/>
          <w:highlight w:val="none"/>
          <w:lang w:val="en-US" w:eastAsia="zh-CN"/>
        </w:rPr>
      </w:pPr>
    </w:p>
    <w:p w14:paraId="1F801D36">
      <w:pPr>
        <w:pStyle w:val="8"/>
        <w:spacing w:before="135" w:line="234" w:lineRule="auto"/>
        <w:ind w:left="429"/>
        <w:rPr>
          <w:rFonts w:hint="eastAsia"/>
          <w:spacing w:val="-2"/>
          <w:sz w:val="21"/>
          <w:szCs w:val="21"/>
          <w:highlight w:val="none"/>
          <w:lang w:val="en-US" w:eastAsia="zh-CN"/>
        </w:rPr>
      </w:pPr>
    </w:p>
    <w:p w14:paraId="767E81E6">
      <w:pPr>
        <w:pStyle w:val="8"/>
        <w:spacing w:before="135" w:line="234" w:lineRule="auto"/>
        <w:ind w:left="429"/>
        <w:rPr>
          <w:rFonts w:hint="eastAsia"/>
          <w:spacing w:val="-2"/>
          <w:sz w:val="21"/>
          <w:szCs w:val="21"/>
          <w:highlight w:val="none"/>
          <w:lang w:val="en-US" w:eastAsia="zh-CN"/>
        </w:rPr>
      </w:pPr>
    </w:p>
    <w:p w14:paraId="7EB20D5A">
      <w:pPr>
        <w:pStyle w:val="8"/>
        <w:spacing w:before="135" w:line="234" w:lineRule="auto"/>
        <w:ind w:left="429"/>
        <w:rPr>
          <w:rFonts w:hint="eastAsia"/>
          <w:spacing w:val="-2"/>
          <w:sz w:val="21"/>
          <w:szCs w:val="21"/>
          <w:highlight w:val="none"/>
          <w:lang w:val="en-US" w:eastAsia="zh-CN"/>
        </w:rPr>
      </w:pPr>
    </w:p>
    <w:p w14:paraId="60AC46B4">
      <w:pPr>
        <w:pStyle w:val="8"/>
        <w:spacing w:before="135" w:line="234" w:lineRule="auto"/>
        <w:ind w:left="429"/>
        <w:rPr>
          <w:rFonts w:hint="eastAsia"/>
          <w:spacing w:val="-2"/>
          <w:sz w:val="21"/>
          <w:szCs w:val="21"/>
          <w:highlight w:val="none"/>
          <w:lang w:val="en-US" w:eastAsia="zh-CN"/>
        </w:rPr>
      </w:pPr>
    </w:p>
    <w:p w14:paraId="056B3635">
      <w:pPr>
        <w:pStyle w:val="8"/>
        <w:spacing w:before="135" w:line="234" w:lineRule="auto"/>
        <w:ind w:left="429"/>
        <w:rPr>
          <w:rFonts w:hint="eastAsia"/>
          <w:spacing w:val="-2"/>
          <w:sz w:val="21"/>
          <w:szCs w:val="21"/>
          <w:highlight w:val="none"/>
          <w:lang w:val="en-US" w:eastAsia="zh-CN"/>
        </w:rPr>
      </w:pPr>
    </w:p>
    <w:p w14:paraId="5340820E">
      <w:pPr>
        <w:pStyle w:val="8"/>
        <w:spacing w:before="135" w:line="234" w:lineRule="auto"/>
        <w:ind w:left="429"/>
        <w:rPr>
          <w:rFonts w:hint="eastAsia"/>
          <w:spacing w:val="-2"/>
          <w:sz w:val="21"/>
          <w:szCs w:val="21"/>
          <w:highlight w:val="none"/>
          <w:lang w:val="en-US" w:eastAsia="zh-CN"/>
        </w:rPr>
      </w:pPr>
    </w:p>
    <w:p w14:paraId="69673921">
      <w:pPr>
        <w:pStyle w:val="8"/>
        <w:spacing w:before="135" w:line="234" w:lineRule="auto"/>
        <w:ind w:left="429"/>
        <w:rPr>
          <w:rFonts w:hint="eastAsia"/>
          <w:spacing w:val="-2"/>
          <w:sz w:val="21"/>
          <w:szCs w:val="21"/>
          <w:highlight w:val="none"/>
          <w:lang w:val="en-US" w:eastAsia="zh-CN"/>
        </w:rPr>
      </w:pPr>
    </w:p>
    <w:p w14:paraId="3E30A8E5">
      <w:pPr>
        <w:pStyle w:val="8"/>
        <w:spacing w:before="135" w:line="234" w:lineRule="auto"/>
        <w:ind w:left="429"/>
        <w:rPr>
          <w:rFonts w:hint="eastAsia"/>
          <w:spacing w:val="-2"/>
          <w:sz w:val="21"/>
          <w:szCs w:val="21"/>
          <w:highlight w:val="none"/>
          <w:lang w:val="en-US" w:eastAsia="zh-CN"/>
        </w:rPr>
      </w:pPr>
    </w:p>
    <w:p w14:paraId="1145F6FF">
      <w:pPr>
        <w:pStyle w:val="8"/>
        <w:spacing w:before="135" w:line="234" w:lineRule="auto"/>
        <w:ind w:left="429"/>
        <w:rPr>
          <w:rFonts w:hint="eastAsia"/>
          <w:spacing w:val="-2"/>
          <w:sz w:val="21"/>
          <w:szCs w:val="21"/>
          <w:highlight w:val="none"/>
          <w:lang w:val="en-US" w:eastAsia="zh-CN"/>
        </w:rPr>
      </w:pPr>
    </w:p>
    <w:p w14:paraId="7B7AC6EA">
      <w:pPr>
        <w:pStyle w:val="8"/>
        <w:spacing w:before="135" w:line="234" w:lineRule="auto"/>
        <w:ind w:left="429"/>
        <w:jc w:val="center"/>
        <w:rPr>
          <w:rFonts w:hint="default" w:ascii="仿宋" w:hAnsi="仿宋" w:eastAsia="仿宋" w:cs="仿宋"/>
          <w:sz w:val="30"/>
          <w:szCs w:val="30"/>
          <w:highlight w:val="none"/>
          <w:lang w:val="en-US" w:eastAsia="zh-CN"/>
        </w:rPr>
      </w:pPr>
      <w:r>
        <w:rPr>
          <w:rFonts w:hint="eastAsia" w:ascii="仿宋" w:hAnsi="仿宋" w:eastAsia="仿宋" w:cs="仿宋"/>
          <w:spacing w:val="-2"/>
          <w:sz w:val="30"/>
          <w:szCs w:val="30"/>
          <w:highlight w:val="none"/>
          <w:lang w:val="en-US" w:eastAsia="zh-CN"/>
        </w:rPr>
        <w:t>15.质量保证措施</w:t>
      </w:r>
    </w:p>
    <w:p w14:paraId="0B4AB8CF">
      <w:pPr>
        <w:rPr>
          <w:rFonts w:hint="eastAsia" w:eastAsia="宋体"/>
          <w:spacing w:val="-1"/>
          <w:sz w:val="21"/>
          <w:szCs w:val="21"/>
          <w:highlight w:val="none"/>
          <w:lang w:val="en-US" w:eastAsia="zh-CN"/>
        </w:rPr>
      </w:pPr>
    </w:p>
    <w:p w14:paraId="4F96F5FC">
      <w:pPr>
        <w:rPr>
          <w:rFonts w:hint="eastAsia" w:eastAsia="宋体"/>
          <w:spacing w:val="-1"/>
          <w:sz w:val="21"/>
          <w:szCs w:val="21"/>
          <w:highlight w:val="none"/>
          <w:lang w:val="en-US" w:eastAsia="zh-CN"/>
        </w:rPr>
      </w:pPr>
    </w:p>
    <w:p w14:paraId="47C6D10D">
      <w:pPr>
        <w:rPr>
          <w:rFonts w:hint="eastAsia" w:eastAsia="宋体"/>
          <w:spacing w:val="-1"/>
          <w:sz w:val="21"/>
          <w:szCs w:val="21"/>
          <w:highlight w:val="none"/>
          <w:lang w:val="en-US" w:eastAsia="zh-CN"/>
        </w:rPr>
      </w:pPr>
    </w:p>
    <w:p w14:paraId="74A7E7B3">
      <w:pPr>
        <w:rPr>
          <w:rFonts w:hint="eastAsia" w:eastAsia="宋体"/>
          <w:spacing w:val="-1"/>
          <w:sz w:val="21"/>
          <w:szCs w:val="21"/>
          <w:highlight w:val="none"/>
          <w:lang w:val="en-US" w:eastAsia="zh-CN"/>
        </w:rPr>
      </w:pPr>
    </w:p>
    <w:p w14:paraId="0F9643DB">
      <w:pPr>
        <w:rPr>
          <w:rFonts w:hint="eastAsia" w:eastAsia="宋体"/>
          <w:spacing w:val="-1"/>
          <w:sz w:val="21"/>
          <w:szCs w:val="21"/>
          <w:highlight w:val="none"/>
          <w:lang w:val="en-US" w:eastAsia="zh-CN"/>
        </w:rPr>
      </w:pPr>
    </w:p>
    <w:p w14:paraId="7F7E49C5">
      <w:pPr>
        <w:rPr>
          <w:rFonts w:hint="eastAsia" w:eastAsia="宋体"/>
          <w:spacing w:val="-1"/>
          <w:sz w:val="21"/>
          <w:szCs w:val="21"/>
          <w:highlight w:val="none"/>
          <w:lang w:val="en-US" w:eastAsia="zh-CN"/>
        </w:rPr>
      </w:pPr>
    </w:p>
    <w:p w14:paraId="7D497694">
      <w:pPr>
        <w:rPr>
          <w:rFonts w:hint="eastAsia" w:eastAsia="宋体"/>
          <w:spacing w:val="-1"/>
          <w:sz w:val="21"/>
          <w:szCs w:val="21"/>
          <w:highlight w:val="none"/>
          <w:lang w:val="en-US" w:eastAsia="zh-CN"/>
        </w:rPr>
      </w:pPr>
    </w:p>
    <w:p w14:paraId="0322BFD3">
      <w:pPr>
        <w:rPr>
          <w:rFonts w:hint="eastAsia" w:eastAsia="宋体"/>
          <w:spacing w:val="-1"/>
          <w:sz w:val="21"/>
          <w:szCs w:val="21"/>
          <w:highlight w:val="none"/>
          <w:lang w:val="en-US" w:eastAsia="zh-CN"/>
        </w:rPr>
      </w:pPr>
    </w:p>
    <w:p w14:paraId="5953043D">
      <w:pPr>
        <w:rPr>
          <w:rFonts w:hint="eastAsia" w:eastAsia="宋体"/>
          <w:spacing w:val="-1"/>
          <w:sz w:val="21"/>
          <w:szCs w:val="21"/>
          <w:highlight w:val="none"/>
          <w:lang w:val="en-US" w:eastAsia="zh-CN"/>
        </w:rPr>
      </w:pPr>
    </w:p>
    <w:p w14:paraId="68D96543">
      <w:pPr>
        <w:rPr>
          <w:rFonts w:hint="eastAsia" w:eastAsia="宋体"/>
          <w:spacing w:val="-1"/>
          <w:sz w:val="21"/>
          <w:szCs w:val="21"/>
          <w:highlight w:val="none"/>
          <w:lang w:val="en-US" w:eastAsia="zh-CN"/>
        </w:rPr>
      </w:pPr>
    </w:p>
    <w:p w14:paraId="4AB86EE4">
      <w:pPr>
        <w:rPr>
          <w:rFonts w:hint="eastAsia" w:eastAsia="宋体"/>
          <w:spacing w:val="-1"/>
          <w:sz w:val="21"/>
          <w:szCs w:val="21"/>
          <w:highlight w:val="none"/>
          <w:lang w:val="en-US" w:eastAsia="zh-CN"/>
        </w:rPr>
      </w:pPr>
    </w:p>
    <w:p w14:paraId="4B61C203">
      <w:pPr>
        <w:rPr>
          <w:rFonts w:hint="eastAsia" w:eastAsia="宋体"/>
          <w:spacing w:val="-1"/>
          <w:sz w:val="21"/>
          <w:szCs w:val="21"/>
          <w:highlight w:val="none"/>
          <w:lang w:val="en-US" w:eastAsia="zh-CN"/>
        </w:rPr>
      </w:pPr>
    </w:p>
    <w:p w14:paraId="2ADA0F39">
      <w:pPr>
        <w:rPr>
          <w:rFonts w:hint="eastAsia" w:eastAsia="宋体"/>
          <w:spacing w:val="-1"/>
          <w:sz w:val="21"/>
          <w:szCs w:val="21"/>
          <w:highlight w:val="none"/>
          <w:lang w:val="en-US" w:eastAsia="zh-CN"/>
        </w:rPr>
      </w:pPr>
    </w:p>
    <w:p w14:paraId="1DA49EF2">
      <w:pPr>
        <w:rPr>
          <w:rFonts w:hint="eastAsia" w:eastAsia="宋体"/>
          <w:spacing w:val="-1"/>
          <w:sz w:val="21"/>
          <w:szCs w:val="21"/>
          <w:highlight w:val="none"/>
          <w:lang w:val="en-US" w:eastAsia="zh-CN"/>
        </w:rPr>
      </w:pPr>
    </w:p>
    <w:p w14:paraId="55FFDF7E">
      <w:pPr>
        <w:rPr>
          <w:rFonts w:hint="eastAsia" w:eastAsia="宋体"/>
          <w:spacing w:val="-1"/>
          <w:sz w:val="21"/>
          <w:szCs w:val="21"/>
          <w:highlight w:val="none"/>
          <w:lang w:val="en-US" w:eastAsia="zh-CN"/>
        </w:rPr>
      </w:pPr>
    </w:p>
    <w:p w14:paraId="110FABB2">
      <w:pPr>
        <w:rPr>
          <w:rFonts w:hint="eastAsia" w:eastAsia="宋体"/>
          <w:spacing w:val="-1"/>
          <w:sz w:val="21"/>
          <w:szCs w:val="21"/>
          <w:highlight w:val="none"/>
          <w:lang w:val="en-US" w:eastAsia="zh-CN"/>
        </w:rPr>
      </w:pPr>
    </w:p>
    <w:p w14:paraId="257EE3FE">
      <w:pPr>
        <w:rPr>
          <w:rFonts w:hint="eastAsia" w:eastAsia="宋体"/>
          <w:spacing w:val="-1"/>
          <w:sz w:val="21"/>
          <w:szCs w:val="21"/>
          <w:highlight w:val="none"/>
          <w:lang w:val="en-US" w:eastAsia="zh-CN"/>
        </w:rPr>
      </w:pPr>
    </w:p>
    <w:p w14:paraId="72472BAC">
      <w:pPr>
        <w:rPr>
          <w:rFonts w:hint="eastAsia" w:eastAsia="宋体"/>
          <w:spacing w:val="-1"/>
          <w:sz w:val="21"/>
          <w:szCs w:val="21"/>
          <w:highlight w:val="none"/>
          <w:lang w:val="en-US" w:eastAsia="zh-CN"/>
        </w:rPr>
      </w:pPr>
    </w:p>
    <w:p w14:paraId="6CD57600">
      <w:pPr>
        <w:rPr>
          <w:rFonts w:hint="eastAsia" w:eastAsia="宋体"/>
          <w:spacing w:val="-1"/>
          <w:sz w:val="21"/>
          <w:szCs w:val="21"/>
          <w:highlight w:val="none"/>
          <w:lang w:val="en-US" w:eastAsia="zh-CN"/>
        </w:rPr>
      </w:pPr>
    </w:p>
    <w:p w14:paraId="3A5CF36B">
      <w:pPr>
        <w:rPr>
          <w:rFonts w:hint="eastAsia" w:eastAsia="宋体"/>
          <w:spacing w:val="-1"/>
          <w:sz w:val="21"/>
          <w:szCs w:val="21"/>
          <w:highlight w:val="none"/>
          <w:lang w:val="en-US" w:eastAsia="zh-CN"/>
        </w:rPr>
      </w:pPr>
    </w:p>
    <w:p w14:paraId="54172C98">
      <w:pPr>
        <w:rPr>
          <w:rFonts w:hint="eastAsia" w:eastAsia="宋体"/>
          <w:spacing w:val="-1"/>
          <w:sz w:val="21"/>
          <w:szCs w:val="21"/>
          <w:highlight w:val="none"/>
          <w:lang w:val="en-US" w:eastAsia="zh-CN"/>
        </w:rPr>
      </w:pPr>
    </w:p>
    <w:p w14:paraId="0BB056C1">
      <w:pPr>
        <w:rPr>
          <w:rFonts w:hint="eastAsia" w:eastAsia="宋体"/>
          <w:spacing w:val="-1"/>
          <w:sz w:val="21"/>
          <w:szCs w:val="21"/>
          <w:highlight w:val="none"/>
          <w:lang w:val="en-US" w:eastAsia="zh-CN"/>
        </w:rPr>
      </w:pPr>
    </w:p>
    <w:p w14:paraId="36021746">
      <w:pPr>
        <w:rPr>
          <w:rFonts w:hint="eastAsia" w:eastAsia="宋体"/>
          <w:spacing w:val="-1"/>
          <w:sz w:val="21"/>
          <w:szCs w:val="21"/>
          <w:highlight w:val="none"/>
          <w:lang w:val="en-US" w:eastAsia="zh-CN"/>
        </w:rPr>
      </w:pPr>
    </w:p>
    <w:p w14:paraId="6542A881">
      <w:pPr>
        <w:rPr>
          <w:rFonts w:hint="eastAsia" w:eastAsia="宋体"/>
          <w:spacing w:val="-1"/>
          <w:sz w:val="21"/>
          <w:szCs w:val="21"/>
          <w:highlight w:val="none"/>
          <w:lang w:val="en-US" w:eastAsia="zh-CN"/>
        </w:rPr>
      </w:pPr>
    </w:p>
    <w:p w14:paraId="01739916">
      <w:pPr>
        <w:rPr>
          <w:rFonts w:hint="eastAsia" w:eastAsia="宋体"/>
          <w:spacing w:val="-1"/>
          <w:sz w:val="21"/>
          <w:szCs w:val="21"/>
          <w:highlight w:val="none"/>
          <w:lang w:val="en-US" w:eastAsia="zh-CN"/>
        </w:rPr>
      </w:pPr>
    </w:p>
    <w:p w14:paraId="129F387B">
      <w:pPr>
        <w:rPr>
          <w:rFonts w:hint="eastAsia" w:eastAsia="宋体"/>
          <w:spacing w:val="-1"/>
          <w:sz w:val="21"/>
          <w:szCs w:val="21"/>
          <w:highlight w:val="none"/>
          <w:lang w:val="en-US" w:eastAsia="zh-CN"/>
        </w:rPr>
      </w:pPr>
    </w:p>
    <w:p w14:paraId="75D1D838">
      <w:pPr>
        <w:rPr>
          <w:rFonts w:hint="eastAsia" w:eastAsia="宋体"/>
          <w:spacing w:val="-1"/>
          <w:sz w:val="21"/>
          <w:szCs w:val="21"/>
          <w:highlight w:val="none"/>
          <w:lang w:val="en-US" w:eastAsia="zh-CN"/>
        </w:rPr>
      </w:pPr>
    </w:p>
    <w:p w14:paraId="39288AAA">
      <w:pPr>
        <w:rPr>
          <w:rFonts w:hint="eastAsia" w:eastAsia="宋体"/>
          <w:spacing w:val="-1"/>
          <w:sz w:val="21"/>
          <w:szCs w:val="21"/>
          <w:highlight w:val="none"/>
          <w:lang w:val="en-US" w:eastAsia="zh-CN"/>
        </w:rPr>
      </w:pPr>
    </w:p>
    <w:p w14:paraId="0399D1A6">
      <w:pPr>
        <w:rPr>
          <w:rFonts w:hint="eastAsia" w:eastAsia="宋体"/>
          <w:spacing w:val="-1"/>
          <w:sz w:val="21"/>
          <w:szCs w:val="21"/>
          <w:highlight w:val="none"/>
          <w:lang w:val="en-US" w:eastAsia="zh-CN"/>
        </w:rPr>
      </w:pPr>
    </w:p>
    <w:p w14:paraId="5166CB86">
      <w:pPr>
        <w:rPr>
          <w:rFonts w:hint="eastAsia" w:eastAsia="宋体"/>
          <w:spacing w:val="-1"/>
          <w:sz w:val="21"/>
          <w:szCs w:val="21"/>
          <w:highlight w:val="none"/>
          <w:lang w:val="en-US" w:eastAsia="zh-CN"/>
        </w:rPr>
      </w:pPr>
    </w:p>
    <w:p w14:paraId="2ACEABC2">
      <w:pPr>
        <w:rPr>
          <w:rFonts w:hint="eastAsia" w:eastAsia="宋体"/>
          <w:spacing w:val="-1"/>
          <w:sz w:val="21"/>
          <w:szCs w:val="21"/>
          <w:highlight w:val="none"/>
          <w:lang w:val="en-US" w:eastAsia="zh-CN"/>
        </w:rPr>
      </w:pPr>
    </w:p>
    <w:p w14:paraId="3FBA66FA">
      <w:pPr>
        <w:rPr>
          <w:rFonts w:hint="eastAsia" w:eastAsia="宋体"/>
          <w:spacing w:val="-1"/>
          <w:sz w:val="21"/>
          <w:szCs w:val="21"/>
          <w:highlight w:val="none"/>
          <w:lang w:val="en-US" w:eastAsia="zh-CN"/>
        </w:rPr>
      </w:pPr>
    </w:p>
    <w:p w14:paraId="04AB7CF6">
      <w:pPr>
        <w:rPr>
          <w:rFonts w:hint="eastAsia" w:eastAsia="宋体"/>
          <w:spacing w:val="-1"/>
          <w:sz w:val="21"/>
          <w:szCs w:val="21"/>
          <w:highlight w:val="none"/>
          <w:lang w:val="en-US" w:eastAsia="zh-CN"/>
        </w:rPr>
      </w:pPr>
    </w:p>
    <w:p w14:paraId="492C289C">
      <w:pPr>
        <w:rPr>
          <w:rFonts w:hint="eastAsia" w:eastAsia="宋体"/>
          <w:spacing w:val="-1"/>
          <w:sz w:val="21"/>
          <w:szCs w:val="21"/>
          <w:highlight w:val="none"/>
          <w:lang w:val="en-US" w:eastAsia="zh-CN"/>
        </w:rPr>
      </w:pPr>
    </w:p>
    <w:p w14:paraId="42663147">
      <w:pPr>
        <w:rPr>
          <w:rFonts w:hint="eastAsia" w:eastAsia="宋体"/>
          <w:spacing w:val="-1"/>
          <w:sz w:val="21"/>
          <w:szCs w:val="21"/>
          <w:highlight w:val="none"/>
          <w:lang w:val="en-US" w:eastAsia="zh-CN"/>
        </w:rPr>
      </w:pPr>
    </w:p>
    <w:p w14:paraId="7E704BC7">
      <w:pPr>
        <w:rPr>
          <w:rFonts w:hint="eastAsia" w:eastAsia="宋体"/>
          <w:spacing w:val="-1"/>
          <w:sz w:val="21"/>
          <w:szCs w:val="21"/>
          <w:highlight w:val="none"/>
          <w:lang w:val="en-US" w:eastAsia="zh-CN"/>
        </w:rPr>
      </w:pPr>
    </w:p>
    <w:p w14:paraId="3393357F">
      <w:pPr>
        <w:rPr>
          <w:rFonts w:hint="eastAsia" w:eastAsia="宋体"/>
          <w:spacing w:val="-1"/>
          <w:sz w:val="21"/>
          <w:szCs w:val="21"/>
          <w:highlight w:val="none"/>
          <w:lang w:val="en-US" w:eastAsia="zh-CN"/>
        </w:rPr>
      </w:pPr>
    </w:p>
    <w:p w14:paraId="3AEF83A4">
      <w:pPr>
        <w:rPr>
          <w:rFonts w:hint="eastAsia" w:eastAsia="宋体"/>
          <w:spacing w:val="-1"/>
          <w:sz w:val="21"/>
          <w:szCs w:val="21"/>
          <w:highlight w:val="none"/>
          <w:lang w:val="en-US" w:eastAsia="zh-CN"/>
        </w:rPr>
      </w:pPr>
    </w:p>
    <w:p w14:paraId="6F6AA60F">
      <w:pPr>
        <w:rPr>
          <w:rFonts w:hint="eastAsia" w:eastAsia="宋体"/>
          <w:spacing w:val="-1"/>
          <w:sz w:val="21"/>
          <w:szCs w:val="21"/>
          <w:highlight w:val="none"/>
          <w:lang w:val="en-US" w:eastAsia="zh-CN"/>
        </w:rPr>
      </w:pPr>
    </w:p>
    <w:p w14:paraId="35C535E1">
      <w:pPr>
        <w:rPr>
          <w:rFonts w:hint="eastAsia" w:eastAsia="宋体"/>
          <w:spacing w:val="-1"/>
          <w:sz w:val="21"/>
          <w:szCs w:val="21"/>
          <w:highlight w:val="none"/>
          <w:lang w:val="en-US" w:eastAsia="zh-CN"/>
        </w:rPr>
      </w:pPr>
    </w:p>
    <w:p w14:paraId="3044D50C">
      <w:pPr>
        <w:rPr>
          <w:rFonts w:hint="eastAsia" w:eastAsia="宋体"/>
          <w:spacing w:val="-1"/>
          <w:sz w:val="21"/>
          <w:szCs w:val="21"/>
          <w:highlight w:val="none"/>
          <w:lang w:val="en-US" w:eastAsia="zh-CN"/>
        </w:rPr>
      </w:pPr>
    </w:p>
    <w:p w14:paraId="46FB8C08">
      <w:pPr>
        <w:rPr>
          <w:rFonts w:hint="eastAsia" w:eastAsia="宋体"/>
          <w:spacing w:val="-1"/>
          <w:sz w:val="21"/>
          <w:szCs w:val="21"/>
          <w:highlight w:val="none"/>
          <w:lang w:val="en-US" w:eastAsia="zh-CN"/>
        </w:rPr>
      </w:pPr>
    </w:p>
    <w:p w14:paraId="4B6DFF0D">
      <w:pPr>
        <w:rPr>
          <w:rFonts w:hint="eastAsia" w:eastAsia="宋体"/>
          <w:spacing w:val="-1"/>
          <w:sz w:val="21"/>
          <w:szCs w:val="21"/>
          <w:highlight w:val="none"/>
          <w:lang w:val="en-US" w:eastAsia="zh-CN"/>
        </w:rPr>
      </w:pPr>
    </w:p>
    <w:p w14:paraId="253B6276">
      <w:pPr>
        <w:rPr>
          <w:rFonts w:hint="eastAsia" w:eastAsia="宋体"/>
          <w:spacing w:val="-1"/>
          <w:sz w:val="21"/>
          <w:szCs w:val="21"/>
          <w:highlight w:val="none"/>
          <w:lang w:val="en-US" w:eastAsia="zh-CN"/>
        </w:rPr>
      </w:pPr>
    </w:p>
    <w:p w14:paraId="23D49E07">
      <w:pPr>
        <w:rPr>
          <w:rFonts w:hint="eastAsia" w:eastAsia="宋体"/>
          <w:spacing w:val="-1"/>
          <w:sz w:val="21"/>
          <w:szCs w:val="21"/>
          <w:highlight w:val="none"/>
          <w:lang w:val="en-US" w:eastAsia="zh-CN"/>
        </w:rPr>
      </w:pPr>
    </w:p>
    <w:p w14:paraId="63BF83A5">
      <w:pPr>
        <w:rPr>
          <w:rFonts w:hint="eastAsia" w:eastAsia="宋体"/>
          <w:spacing w:val="-1"/>
          <w:sz w:val="21"/>
          <w:szCs w:val="21"/>
          <w:highlight w:val="none"/>
          <w:lang w:val="en-US" w:eastAsia="zh-CN"/>
        </w:rPr>
      </w:pPr>
    </w:p>
    <w:p w14:paraId="544B4393">
      <w:pPr>
        <w:rPr>
          <w:rFonts w:hint="eastAsia" w:eastAsia="宋体"/>
          <w:spacing w:val="-1"/>
          <w:sz w:val="21"/>
          <w:szCs w:val="21"/>
          <w:highlight w:val="none"/>
          <w:lang w:val="en-US" w:eastAsia="zh-CN"/>
        </w:rPr>
      </w:pPr>
    </w:p>
    <w:p w14:paraId="2F8ED580">
      <w:pPr>
        <w:rPr>
          <w:rFonts w:hint="eastAsia" w:eastAsia="宋体"/>
          <w:spacing w:val="-1"/>
          <w:sz w:val="21"/>
          <w:szCs w:val="21"/>
          <w:highlight w:val="none"/>
          <w:lang w:val="en-US" w:eastAsia="zh-CN"/>
        </w:rPr>
      </w:pPr>
    </w:p>
    <w:p w14:paraId="70FC2D23">
      <w:pPr>
        <w:rPr>
          <w:rFonts w:hint="eastAsia" w:eastAsia="宋体"/>
          <w:spacing w:val="-1"/>
          <w:sz w:val="21"/>
          <w:szCs w:val="21"/>
          <w:highlight w:val="none"/>
          <w:lang w:val="en-US" w:eastAsia="zh-CN"/>
        </w:rPr>
      </w:pPr>
    </w:p>
    <w:p w14:paraId="2224B86D">
      <w:pPr>
        <w:rPr>
          <w:rFonts w:hint="eastAsia" w:eastAsia="宋体"/>
          <w:spacing w:val="-1"/>
          <w:sz w:val="21"/>
          <w:szCs w:val="21"/>
          <w:highlight w:val="none"/>
          <w:lang w:val="en-US" w:eastAsia="zh-CN"/>
        </w:rPr>
      </w:pPr>
    </w:p>
    <w:p w14:paraId="0BEA14A8">
      <w:pPr>
        <w:rPr>
          <w:rFonts w:hint="eastAsia" w:eastAsia="宋体"/>
          <w:spacing w:val="-1"/>
          <w:sz w:val="21"/>
          <w:szCs w:val="21"/>
          <w:highlight w:val="none"/>
          <w:lang w:val="en-US" w:eastAsia="zh-CN"/>
        </w:rPr>
      </w:pPr>
    </w:p>
    <w:p w14:paraId="7D4A9104">
      <w:pPr>
        <w:rPr>
          <w:rFonts w:hint="eastAsia" w:eastAsia="宋体"/>
          <w:spacing w:val="-1"/>
          <w:sz w:val="21"/>
          <w:szCs w:val="21"/>
          <w:highlight w:val="none"/>
          <w:lang w:val="en-US" w:eastAsia="zh-CN"/>
        </w:rPr>
      </w:pPr>
    </w:p>
    <w:p w14:paraId="6C9D7B4F">
      <w:pPr>
        <w:jc w:val="center"/>
        <w:rPr>
          <w:rFonts w:hint="eastAsia" w:ascii="方正仿宋简体" w:hAnsi="方正仿宋简体" w:eastAsia="方正仿宋简体" w:cs="方正仿宋简体"/>
          <w:sz w:val="30"/>
          <w:szCs w:val="30"/>
          <w:highlight w:val="none"/>
          <w:lang w:val="en-US" w:eastAsia="zh-CN"/>
        </w:rPr>
      </w:pPr>
      <w:r>
        <w:rPr>
          <w:rFonts w:hint="eastAsia" w:ascii="方正仿宋简体" w:hAnsi="方正仿宋简体" w:eastAsia="方正仿宋简体" w:cs="方正仿宋简体"/>
          <w:spacing w:val="-1"/>
          <w:sz w:val="30"/>
          <w:szCs w:val="30"/>
          <w:highlight w:val="none"/>
          <w:lang w:val="en-US" w:eastAsia="zh-CN"/>
        </w:rPr>
        <w:t>16.技术服务措施</w:t>
      </w:r>
    </w:p>
    <w:p w14:paraId="3FD903F2">
      <w:pPr>
        <w:pStyle w:val="4"/>
        <w:rPr>
          <w:rFonts w:hint="eastAsia" w:ascii="微软雅黑" w:hAnsi="微软雅黑" w:eastAsia="微软雅黑" w:cs="微软雅黑"/>
          <w:sz w:val="21"/>
          <w:szCs w:val="21"/>
          <w:highlight w:val="none"/>
          <w:lang w:val="en-US" w:eastAsia="zh-CN"/>
        </w:rPr>
      </w:pPr>
    </w:p>
    <w:p w14:paraId="2ADF778B">
      <w:pPr>
        <w:rPr>
          <w:rFonts w:hint="eastAsia" w:ascii="微软雅黑" w:hAnsi="微软雅黑" w:eastAsia="微软雅黑" w:cs="微软雅黑"/>
          <w:sz w:val="21"/>
          <w:szCs w:val="21"/>
          <w:highlight w:val="none"/>
          <w:lang w:val="en-US" w:eastAsia="zh-CN"/>
        </w:rPr>
      </w:pPr>
    </w:p>
    <w:p w14:paraId="6F69E202">
      <w:pPr>
        <w:pStyle w:val="4"/>
        <w:rPr>
          <w:rFonts w:hint="eastAsia" w:ascii="微软雅黑" w:hAnsi="微软雅黑" w:eastAsia="微软雅黑" w:cs="微软雅黑"/>
          <w:sz w:val="21"/>
          <w:szCs w:val="21"/>
          <w:highlight w:val="none"/>
          <w:lang w:val="en-US" w:eastAsia="zh-CN"/>
        </w:rPr>
      </w:pPr>
    </w:p>
    <w:p w14:paraId="5EF4ADFD">
      <w:pPr>
        <w:rPr>
          <w:rFonts w:hint="eastAsia" w:ascii="微软雅黑" w:hAnsi="微软雅黑" w:eastAsia="微软雅黑" w:cs="微软雅黑"/>
          <w:sz w:val="21"/>
          <w:szCs w:val="21"/>
          <w:highlight w:val="none"/>
          <w:lang w:val="en-US" w:eastAsia="zh-CN"/>
        </w:rPr>
      </w:pPr>
    </w:p>
    <w:p w14:paraId="59620082">
      <w:pPr>
        <w:pStyle w:val="4"/>
        <w:rPr>
          <w:rFonts w:hint="eastAsia" w:ascii="微软雅黑" w:hAnsi="微软雅黑" w:eastAsia="微软雅黑" w:cs="微软雅黑"/>
          <w:sz w:val="21"/>
          <w:szCs w:val="21"/>
          <w:highlight w:val="none"/>
          <w:lang w:val="en-US" w:eastAsia="zh-CN"/>
        </w:rPr>
      </w:pPr>
    </w:p>
    <w:p w14:paraId="1B5EED65">
      <w:pPr>
        <w:rPr>
          <w:rFonts w:hint="eastAsia" w:ascii="微软雅黑" w:hAnsi="微软雅黑" w:eastAsia="微软雅黑" w:cs="微软雅黑"/>
          <w:sz w:val="21"/>
          <w:szCs w:val="21"/>
          <w:highlight w:val="none"/>
          <w:lang w:val="en-US" w:eastAsia="zh-CN"/>
        </w:rPr>
      </w:pPr>
    </w:p>
    <w:p w14:paraId="3B48C052">
      <w:pPr>
        <w:pStyle w:val="4"/>
        <w:rPr>
          <w:rFonts w:hint="eastAsia" w:ascii="微软雅黑" w:hAnsi="微软雅黑" w:eastAsia="微软雅黑" w:cs="微软雅黑"/>
          <w:sz w:val="21"/>
          <w:szCs w:val="21"/>
          <w:highlight w:val="none"/>
          <w:lang w:val="en-US" w:eastAsia="zh-CN"/>
        </w:rPr>
      </w:pPr>
    </w:p>
    <w:p w14:paraId="3A7B9D42">
      <w:pPr>
        <w:rPr>
          <w:rFonts w:hint="eastAsia" w:ascii="微软雅黑" w:hAnsi="微软雅黑" w:eastAsia="微软雅黑" w:cs="微软雅黑"/>
          <w:sz w:val="21"/>
          <w:szCs w:val="21"/>
          <w:highlight w:val="none"/>
          <w:lang w:val="en-US" w:eastAsia="zh-CN"/>
        </w:rPr>
      </w:pPr>
    </w:p>
    <w:p w14:paraId="041FBB4C">
      <w:pPr>
        <w:pStyle w:val="4"/>
        <w:rPr>
          <w:rFonts w:hint="eastAsia" w:ascii="微软雅黑" w:hAnsi="微软雅黑" w:eastAsia="微软雅黑" w:cs="微软雅黑"/>
          <w:sz w:val="21"/>
          <w:szCs w:val="21"/>
          <w:highlight w:val="none"/>
          <w:lang w:val="en-US" w:eastAsia="zh-CN"/>
        </w:rPr>
      </w:pPr>
    </w:p>
    <w:p w14:paraId="324AD951">
      <w:pPr>
        <w:rPr>
          <w:rFonts w:hint="eastAsia" w:ascii="微软雅黑" w:hAnsi="微软雅黑" w:eastAsia="微软雅黑" w:cs="微软雅黑"/>
          <w:sz w:val="21"/>
          <w:szCs w:val="21"/>
          <w:highlight w:val="none"/>
          <w:lang w:val="en-US" w:eastAsia="zh-CN"/>
        </w:rPr>
      </w:pPr>
    </w:p>
    <w:p w14:paraId="1A83D906">
      <w:pPr>
        <w:pStyle w:val="4"/>
        <w:rPr>
          <w:rFonts w:hint="eastAsia" w:ascii="微软雅黑" w:hAnsi="微软雅黑" w:eastAsia="微软雅黑" w:cs="微软雅黑"/>
          <w:sz w:val="21"/>
          <w:szCs w:val="21"/>
          <w:highlight w:val="none"/>
          <w:lang w:val="en-US" w:eastAsia="zh-CN"/>
        </w:rPr>
      </w:pPr>
    </w:p>
    <w:p w14:paraId="4E6FFD0F">
      <w:pPr>
        <w:rPr>
          <w:rFonts w:hint="eastAsia" w:ascii="微软雅黑" w:hAnsi="微软雅黑" w:eastAsia="微软雅黑" w:cs="微软雅黑"/>
          <w:sz w:val="21"/>
          <w:szCs w:val="21"/>
          <w:highlight w:val="none"/>
          <w:lang w:val="en-US" w:eastAsia="zh-CN"/>
        </w:rPr>
      </w:pPr>
    </w:p>
    <w:p w14:paraId="15715000">
      <w:pPr>
        <w:pStyle w:val="4"/>
        <w:rPr>
          <w:rFonts w:hint="eastAsia" w:ascii="微软雅黑" w:hAnsi="微软雅黑" w:eastAsia="微软雅黑" w:cs="微软雅黑"/>
          <w:sz w:val="21"/>
          <w:szCs w:val="21"/>
          <w:highlight w:val="none"/>
          <w:lang w:val="en-US" w:eastAsia="zh-CN"/>
        </w:rPr>
      </w:pPr>
    </w:p>
    <w:p w14:paraId="5E07C05C">
      <w:pPr>
        <w:rPr>
          <w:rFonts w:hint="eastAsia" w:ascii="微软雅黑" w:hAnsi="微软雅黑" w:eastAsia="微软雅黑" w:cs="微软雅黑"/>
          <w:sz w:val="21"/>
          <w:szCs w:val="21"/>
          <w:highlight w:val="none"/>
          <w:lang w:val="en-US" w:eastAsia="zh-CN"/>
        </w:rPr>
      </w:pPr>
    </w:p>
    <w:p w14:paraId="1CA5F9C3">
      <w:pPr>
        <w:pStyle w:val="4"/>
        <w:rPr>
          <w:rFonts w:hint="eastAsia"/>
          <w:highlight w:val="none"/>
          <w:lang w:val="en-US" w:eastAsia="zh-CN"/>
        </w:rPr>
      </w:pPr>
    </w:p>
    <w:p w14:paraId="1EE2B04D">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微软雅黑" w:hAnsi="微软雅黑" w:eastAsia="微软雅黑" w:cs="微软雅黑"/>
          <w:sz w:val="21"/>
          <w:szCs w:val="21"/>
          <w:highlight w:val="none"/>
          <w:lang w:val="en-US" w:eastAsia="zh-CN"/>
        </w:rPr>
      </w:pPr>
    </w:p>
    <w:p w14:paraId="3C422E94">
      <w:pPr>
        <w:pageBreakBefore w:val="0"/>
        <w:shd w:val="clear"/>
        <w:kinsoku/>
        <w:wordWrap/>
        <w:overflowPunct/>
        <w:autoSpaceDE/>
        <w:autoSpaceDN/>
        <w:bidi w:val="0"/>
        <w:adjustRightInd w:val="0"/>
        <w:snapToGrid w:val="0"/>
        <w:spacing w:line="360" w:lineRule="auto"/>
        <w:ind w:firstLine="602" w:firstLineChars="200"/>
        <w:jc w:val="center"/>
        <w:textAlignment w:val="auto"/>
        <w:rPr>
          <w:rFonts w:hint="eastAsia" w:ascii="仿宋" w:hAnsi="仿宋" w:eastAsia="仿宋" w:cs="仿宋"/>
          <w:b/>
          <w:bCs/>
          <w:sz w:val="30"/>
          <w:szCs w:val="30"/>
          <w:highlight w:val="none"/>
          <w:lang w:val="en-US" w:eastAsia="zh-CN"/>
        </w:rPr>
      </w:pPr>
    </w:p>
    <w:p w14:paraId="386F3E26">
      <w:pPr>
        <w:pageBreakBefore w:val="0"/>
        <w:shd w:val="clear"/>
        <w:kinsoku/>
        <w:wordWrap/>
        <w:overflowPunct/>
        <w:autoSpaceDE/>
        <w:autoSpaceDN/>
        <w:bidi w:val="0"/>
        <w:adjustRightInd w:val="0"/>
        <w:snapToGrid w:val="0"/>
        <w:spacing w:line="360" w:lineRule="auto"/>
        <w:ind w:firstLine="602" w:firstLineChars="200"/>
        <w:jc w:val="center"/>
        <w:textAlignment w:val="auto"/>
        <w:rPr>
          <w:rFonts w:hint="eastAsia" w:ascii="仿宋" w:hAnsi="仿宋" w:eastAsia="仿宋" w:cs="仿宋"/>
          <w:b/>
          <w:bCs/>
          <w:sz w:val="30"/>
          <w:szCs w:val="30"/>
          <w:highlight w:val="none"/>
          <w:lang w:val="en-US" w:eastAsia="zh-CN"/>
        </w:rPr>
      </w:pPr>
    </w:p>
    <w:p w14:paraId="748E9508">
      <w:pPr>
        <w:pageBreakBefore w:val="0"/>
        <w:shd w:val="clear"/>
        <w:kinsoku/>
        <w:wordWrap/>
        <w:overflowPunct/>
        <w:autoSpaceDE/>
        <w:autoSpaceDN/>
        <w:bidi w:val="0"/>
        <w:adjustRightInd w:val="0"/>
        <w:snapToGrid w:val="0"/>
        <w:spacing w:line="360" w:lineRule="auto"/>
        <w:jc w:val="both"/>
        <w:textAlignment w:val="auto"/>
        <w:rPr>
          <w:rFonts w:hint="eastAsia" w:ascii="仿宋" w:hAnsi="仿宋" w:eastAsia="仿宋" w:cs="仿宋"/>
          <w:b/>
          <w:bCs/>
          <w:sz w:val="30"/>
          <w:szCs w:val="30"/>
          <w:highlight w:val="none"/>
          <w:lang w:val="en-US" w:eastAsia="zh-CN"/>
        </w:rPr>
      </w:pPr>
    </w:p>
    <w:p w14:paraId="17C61A0D">
      <w:pPr>
        <w:pStyle w:val="2"/>
        <w:rPr>
          <w:rFonts w:hint="eastAsia"/>
          <w:highlight w:val="none"/>
          <w:lang w:val="en-US" w:eastAsia="zh-CN"/>
        </w:rPr>
      </w:pPr>
    </w:p>
    <w:p w14:paraId="14266093">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cs="宋体"/>
          <w:sz w:val="21"/>
          <w:szCs w:val="21"/>
          <w:highlight w:val="none"/>
        </w:rPr>
      </w:pPr>
    </w:p>
    <w:p w14:paraId="0E70CA27">
      <w:pPr>
        <w:spacing w:line="240" w:lineRule="auto"/>
        <w:ind w:left="0"/>
        <w:jc w:val="center"/>
        <w:rPr>
          <w:rFonts w:hint="default" w:ascii="黑体" w:hAnsi="黑体" w:eastAsia="黑体" w:cs="黑体"/>
          <w:spacing w:val="-3"/>
          <w:sz w:val="28"/>
          <w:szCs w:val="28"/>
          <w:highlight w:val="none"/>
          <w:lang w:val="en-US" w:eastAsia="zh-CN"/>
        </w:rPr>
      </w:pPr>
      <w:r>
        <w:rPr>
          <w:rFonts w:hint="eastAsia" w:ascii="黑体" w:hAnsi="黑体" w:eastAsia="黑体" w:cs="黑体"/>
          <w:spacing w:val="-3"/>
          <w:sz w:val="28"/>
          <w:szCs w:val="28"/>
          <w:highlight w:val="none"/>
          <w:lang w:val="en-US" w:eastAsia="zh-CN"/>
        </w:rPr>
        <w:t>17.售后服务措施</w:t>
      </w:r>
    </w:p>
    <w:p w14:paraId="4AF6F35B">
      <w:pPr>
        <w:spacing w:line="240" w:lineRule="auto"/>
        <w:ind w:left="0"/>
        <w:jc w:val="center"/>
        <w:rPr>
          <w:rFonts w:hint="eastAsia" w:ascii="黑体" w:hAnsi="黑体" w:eastAsia="黑体" w:cs="黑体"/>
          <w:spacing w:val="-3"/>
          <w:sz w:val="28"/>
          <w:szCs w:val="28"/>
          <w:highlight w:val="none"/>
          <w:lang w:val="en-US" w:eastAsia="zh-CN"/>
        </w:rPr>
      </w:pPr>
    </w:p>
    <w:p w14:paraId="023F41A8">
      <w:pPr>
        <w:spacing w:line="240" w:lineRule="auto"/>
        <w:ind w:left="0"/>
        <w:jc w:val="center"/>
        <w:rPr>
          <w:rFonts w:hint="eastAsia" w:ascii="黑体" w:hAnsi="黑体" w:eastAsia="黑体" w:cs="黑体"/>
          <w:spacing w:val="-3"/>
          <w:sz w:val="28"/>
          <w:szCs w:val="28"/>
          <w:highlight w:val="none"/>
          <w:lang w:val="en-US" w:eastAsia="zh-CN"/>
        </w:rPr>
      </w:pPr>
    </w:p>
    <w:p w14:paraId="77081B40">
      <w:pPr>
        <w:spacing w:line="240" w:lineRule="auto"/>
        <w:ind w:left="0"/>
        <w:jc w:val="center"/>
        <w:rPr>
          <w:rFonts w:hint="eastAsia" w:ascii="黑体" w:hAnsi="黑体" w:eastAsia="黑体" w:cs="黑体"/>
          <w:spacing w:val="-3"/>
          <w:sz w:val="28"/>
          <w:szCs w:val="28"/>
          <w:highlight w:val="none"/>
          <w:lang w:val="en-US" w:eastAsia="zh-CN"/>
        </w:rPr>
      </w:pPr>
    </w:p>
    <w:p w14:paraId="56855A17">
      <w:pPr>
        <w:spacing w:line="240" w:lineRule="auto"/>
        <w:ind w:left="0"/>
        <w:jc w:val="center"/>
        <w:rPr>
          <w:rFonts w:hint="eastAsia" w:ascii="黑体" w:hAnsi="黑体" w:eastAsia="黑体" w:cs="黑体"/>
          <w:spacing w:val="-3"/>
          <w:sz w:val="28"/>
          <w:szCs w:val="28"/>
          <w:highlight w:val="none"/>
          <w:lang w:val="en-US" w:eastAsia="zh-CN"/>
        </w:rPr>
      </w:pPr>
    </w:p>
    <w:p w14:paraId="638F9741">
      <w:pPr>
        <w:spacing w:line="240" w:lineRule="auto"/>
        <w:ind w:left="0"/>
        <w:jc w:val="center"/>
        <w:rPr>
          <w:rFonts w:hint="eastAsia" w:ascii="黑体" w:hAnsi="黑体" w:eastAsia="黑体" w:cs="黑体"/>
          <w:spacing w:val="-3"/>
          <w:sz w:val="28"/>
          <w:szCs w:val="28"/>
          <w:highlight w:val="none"/>
          <w:lang w:val="en-US" w:eastAsia="zh-CN"/>
        </w:rPr>
      </w:pPr>
    </w:p>
    <w:p w14:paraId="3F453B97">
      <w:pPr>
        <w:spacing w:line="240" w:lineRule="auto"/>
        <w:ind w:left="0"/>
        <w:jc w:val="center"/>
        <w:rPr>
          <w:rFonts w:hint="eastAsia" w:ascii="黑体" w:hAnsi="黑体" w:eastAsia="黑体" w:cs="黑体"/>
          <w:spacing w:val="-3"/>
          <w:sz w:val="28"/>
          <w:szCs w:val="28"/>
          <w:highlight w:val="none"/>
          <w:lang w:val="en-US" w:eastAsia="zh-CN"/>
        </w:rPr>
      </w:pPr>
    </w:p>
    <w:p w14:paraId="1F10D3CF">
      <w:pPr>
        <w:spacing w:line="240" w:lineRule="auto"/>
        <w:ind w:left="0"/>
        <w:jc w:val="center"/>
        <w:rPr>
          <w:rFonts w:hint="eastAsia" w:ascii="黑体" w:hAnsi="黑体" w:eastAsia="黑体" w:cs="黑体"/>
          <w:spacing w:val="-3"/>
          <w:sz w:val="28"/>
          <w:szCs w:val="28"/>
          <w:highlight w:val="none"/>
          <w:lang w:val="en-US" w:eastAsia="zh-CN"/>
        </w:rPr>
      </w:pPr>
    </w:p>
    <w:p w14:paraId="7A389555">
      <w:pPr>
        <w:spacing w:line="240" w:lineRule="auto"/>
        <w:ind w:left="0"/>
        <w:jc w:val="center"/>
        <w:rPr>
          <w:rFonts w:hint="eastAsia" w:ascii="黑体" w:hAnsi="黑体" w:eastAsia="黑体" w:cs="黑体"/>
          <w:spacing w:val="-3"/>
          <w:sz w:val="28"/>
          <w:szCs w:val="28"/>
          <w:highlight w:val="none"/>
          <w:lang w:val="en-US" w:eastAsia="zh-CN"/>
        </w:rPr>
      </w:pPr>
    </w:p>
    <w:p w14:paraId="5744E9EF">
      <w:pPr>
        <w:spacing w:line="240" w:lineRule="auto"/>
        <w:ind w:left="0"/>
        <w:jc w:val="center"/>
        <w:rPr>
          <w:rFonts w:hint="eastAsia" w:ascii="黑体" w:hAnsi="黑体" w:eastAsia="黑体" w:cs="黑体"/>
          <w:spacing w:val="-3"/>
          <w:sz w:val="28"/>
          <w:szCs w:val="28"/>
          <w:highlight w:val="none"/>
          <w:lang w:val="en-US" w:eastAsia="zh-CN"/>
        </w:rPr>
      </w:pPr>
    </w:p>
    <w:p w14:paraId="3C4C9AF3">
      <w:pPr>
        <w:spacing w:line="240" w:lineRule="auto"/>
        <w:ind w:left="0"/>
        <w:jc w:val="center"/>
        <w:rPr>
          <w:rFonts w:hint="eastAsia" w:ascii="黑体" w:hAnsi="黑体" w:eastAsia="黑体" w:cs="黑体"/>
          <w:spacing w:val="-3"/>
          <w:sz w:val="28"/>
          <w:szCs w:val="28"/>
          <w:highlight w:val="none"/>
          <w:lang w:val="en-US" w:eastAsia="zh-CN"/>
        </w:rPr>
      </w:pPr>
    </w:p>
    <w:p w14:paraId="10F639FC">
      <w:pPr>
        <w:spacing w:line="240" w:lineRule="auto"/>
        <w:ind w:left="0"/>
        <w:jc w:val="center"/>
        <w:rPr>
          <w:rFonts w:hint="eastAsia" w:ascii="黑体" w:hAnsi="黑体" w:eastAsia="黑体" w:cs="黑体"/>
          <w:spacing w:val="-3"/>
          <w:sz w:val="28"/>
          <w:szCs w:val="28"/>
          <w:highlight w:val="none"/>
          <w:lang w:val="en-US" w:eastAsia="zh-CN"/>
        </w:rPr>
      </w:pPr>
    </w:p>
    <w:p w14:paraId="34A89478">
      <w:pPr>
        <w:spacing w:line="240" w:lineRule="auto"/>
        <w:ind w:left="0"/>
        <w:jc w:val="center"/>
        <w:rPr>
          <w:rFonts w:hint="eastAsia" w:ascii="黑体" w:hAnsi="黑体" w:eastAsia="黑体" w:cs="黑体"/>
          <w:spacing w:val="-3"/>
          <w:sz w:val="28"/>
          <w:szCs w:val="28"/>
          <w:highlight w:val="none"/>
          <w:lang w:val="en-US" w:eastAsia="zh-CN"/>
        </w:rPr>
      </w:pPr>
    </w:p>
    <w:p w14:paraId="02CFCB76">
      <w:pPr>
        <w:spacing w:line="240" w:lineRule="auto"/>
        <w:ind w:left="0"/>
        <w:jc w:val="center"/>
        <w:rPr>
          <w:rFonts w:hint="eastAsia" w:ascii="黑体" w:hAnsi="黑体" w:eastAsia="黑体" w:cs="黑体"/>
          <w:spacing w:val="-3"/>
          <w:sz w:val="28"/>
          <w:szCs w:val="28"/>
          <w:highlight w:val="none"/>
          <w:lang w:val="en-US" w:eastAsia="zh-CN"/>
        </w:rPr>
      </w:pPr>
    </w:p>
    <w:p w14:paraId="10F2A6B6">
      <w:pPr>
        <w:spacing w:line="240" w:lineRule="auto"/>
        <w:ind w:left="0"/>
        <w:jc w:val="center"/>
        <w:rPr>
          <w:rFonts w:hint="eastAsia" w:ascii="黑体" w:hAnsi="黑体" w:eastAsia="黑体" w:cs="黑体"/>
          <w:spacing w:val="-3"/>
          <w:sz w:val="28"/>
          <w:szCs w:val="28"/>
          <w:highlight w:val="none"/>
          <w:lang w:val="en-US" w:eastAsia="zh-CN"/>
        </w:rPr>
      </w:pPr>
    </w:p>
    <w:p w14:paraId="6C199BE1">
      <w:pPr>
        <w:spacing w:line="240" w:lineRule="auto"/>
        <w:ind w:left="0"/>
        <w:jc w:val="center"/>
        <w:rPr>
          <w:rFonts w:hint="eastAsia" w:ascii="黑体" w:hAnsi="黑体" w:eastAsia="黑体" w:cs="黑体"/>
          <w:spacing w:val="-3"/>
          <w:sz w:val="28"/>
          <w:szCs w:val="28"/>
          <w:highlight w:val="none"/>
          <w:lang w:val="en-US" w:eastAsia="zh-CN"/>
        </w:rPr>
      </w:pPr>
    </w:p>
    <w:p w14:paraId="6D3EE7AB">
      <w:pPr>
        <w:spacing w:line="240" w:lineRule="auto"/>
        <w:ind w:left="0"/>
        <w:jc w:val="center"/>
        <w:rPr>
          <w:rFonts w:hint="eastAsia" w:ascii="黑体" w:hAnsi="黑体" w:eastAsia="黑体" w:cs="黑体"/>
          <w:spacing w:val="-3"/>
          <w:sz w:val="28"/>
          <w:szCs w:val="28"/>
          <w:highlight w:val="none"/>
          <w:lang w:val="en-US" w:eastAsia="zh-CN"/>
        </w:rPr>
      </w:pPr>
    </w:p>
    <w:p w14:paraId="31C976BC">
      <w:pPr>
        <w:spacing w:line="240" w:lineRule="auto"/>
        <w:ind w:left="0"/>
        <w:jc w:val="center"/>
        <w:rPr>
          <w:rFonts w:hint="eastAsia" w:ascii="黑体" w:hAnsi="黑体" w:eastAsia="黑体" w:cs="黑体"/>
          <w:spacing w:val="-3"/>
          <w:sz w:val="28"/>
          <w:szCs w:val="28"/>
          <w:highlight w:val="none"/>
          <w:lang w:val="en-US" w:eastAsia="zh-CN"/>
        </w:rPr>
      </w:pPr>
    </w:p>
    <w:p w14:paraId="3A5F1BA3">
      <w:pPr>
        <w:spacing w:line="240" w:lineRule="auto"/>
        <w:ind w:left="0"/>
        <w:jc w:val="center"/>
        <w:rPr>
          <w:rFonts w:hint="eastAsia" w:ascii="黑体" w:hAnsi="黑体" w:eastAsia="黑体" w:cs="黑体"/>
          <w:spacing w:val="-3"/>
          <w:sz w:val="28"/>
          <w:szCs w:val="28"/>
          <w:highlight w:val="none"/>
          <w:lang w:val="en-US" w:eastAsia="zh-CN"/>
        </w:rPr>
      </w:pPr>
    </w:p>
    <w:p w14:paraId="16063FFB">
      <w:pPr>
        <w:spacing w:line="240" w:lineRule="auto"/>
        <w:ind w:left="0"/>
        <w:jc w:val="center"/>
        <w:rPr>
          <w:rFonts w:hint="eastAsia" w:ascii="黑体" w:hAnsi="黑体" w:eastAsia="黑体" w:cs="黑体"/>
          <w:spacing w:val="-3"/>
          <w:sz w:val="28"/>
          <w:szCs w:val="28"/>
          <w:highlight w:val="none"/>
          <w:lang w:val="en-US" w:eastAsia="zh-CN"/>
        </w:rPr>
      </w:pPr>
    </w:p>
    <w:p w14:paraId="144EC920">
      <w:pPr>
        <w:spacing w:line="240" w:lineRule="auto"/>
        <w:ind w:left="0"/>
        <w:jc w:val="center"/>
        <w:rPr>
          <w:rFonts w:hint="eastAsia" w:ascii="黑体" w:hAnsi="黑体" w:eastAsia="黑体" w:cs="黑体"/>
          <w:spacing w:val="-3"/>
          <w:sz w:val="28"/>
          <w:szCs w:val="28"/>
          <w:highlight w:val="none"/>
          <w:lang w:val="en-US" w:eastAsia="zh-CN"/>
        </w:rPr>
      </w:pPr>
    </w:p>
    <w:p w14:paraId="43E17F03">
      <w:pPr>
        <w:spacing w:line="240" w:lineRule="auto"/>
        <w:ind w:left="0"/>
        <w:jc w:val="center"/>
        <w:rPr>
          <w:rFonts w:hint="eastAsia" w:ascii="黑体" w:hAnsi="黑体" w:eastAsia="黑体" w:cs="黑体"/>
          <w:spacing w:val="-3"/>
          <w:sz w:val="28"/>
          <w:szCs w:val="28"/>
          <w:highlight w:val="none"/>
          <w:lang w:val="en-US" w:eastAsia="zh-CN"/>
        </w:rPr>
      </w:pPr>
    </w:p>
    <w:p w14:paraId="0B271529">
      <w:pPr>
        <w:spacing w:line="240" w:lineRule="auto"/>
        <w:ind w:left="0"/>
        <w:jc w:val="center"/>
        <w:rPr>
          <w:rFonts w:hint="eastAsia" w:ascii="黑体" w:hAnsi="黑体" w:eastAsia="黑体" w:cs="黑体"/>
          <w:spacing w:val="-3"/>
          <w:sz w:val="28"/>
          <w:szCs w:val="28"/>
          <w:highlight w:val="none"/>
          <w:lang w:val="en-US" w:eastAsia="zh-CN"/>
        </w:rPr>
      </w:pPr>
    </w:p>
    <w:p w14:paraId="07C33B8C">
      <w:pPr>
        <w:spacing w:line="240" w:lineRule="auto"/>
        <w:ind w:left="0"/>
        <w:jc w:val="center"/>
        <w:rPr>
          <w:rFonts w:hint="eastAsia" w:ascii="黑体" w:hAnsi="黑体" w:eastAsia="黑体" w:cs="黑体"/>
          <w:spacing w:val="-3"/>
          <w:sz w:val="28"/>
          <w:szCs w:val="28"/>
          <w:highlight w:val="none"/>
          <w:lang w:val="en-US" w:eastAsia="zh-CN"/>
        </w:rPr>
      </w:pPr>
    </w:p>
    <w:p w14:paraId="72F5C867">
      <w:pPr>
        <w:spacing w:line="240" w:lineRule="auto"/>
        <w:ind w:left="0"/>
        <w:jc w:val="center"/>
        <w:rPr>
          <w:rFonts w:hint="eastAsia" w:ascii="黑体" w:hAnsi="黑体" w:eastAsia="黑体" w:cs="黑体"/>
          <w:spacing w:val="-3"/>
          <w:sz w:val="28"/>
          <w:szCs w:val="28"/>
          <w:highlight w:val="none"/>
          <w:lang w:val="en-US" w:eastAsia="zh-CN"/>
        </w:rPr>
      </w:pPr>
    </w:p>
    <w:p w14:paraId="4A16356E">
      <w:pPr>
        <w:spacing w:line="240" w:lineRule="auto"/>
        <w:ind w:left="0"/>
        <w:jc w:val="center"/>
        <w:rPr>
          <w:rFonts w:hint="eastAsia" w:ascii="黑体" w:hAnsi="黑体" w:eastAsia="黑体" w:cs="黑体"/>
          <w:spacing w:val="-3"/>
          <w:sz w:val="28"/>
          <w:szCs w:val="28"/>
          <w:highlight w:val="none"/>
          <w:lang w:val="en-US" w:eastAsia="zh-CN"/>
        </w:rPr>
      </w:pPr>
    </w:p>
    <w:p w14:paraId="35EE5A4E">
      <w:pPr>
        <w:spacing w:line="240" w:lineRule="auto"/>
        <w:ind w:left="0"/>
        <w:jc w:val="center"/>
        <w:rPr>
          <w:rFonts w:hint="eastAsia" w:ascii="黑体" w:hAnsi="黑体" w:eastAsia="黑体" w:cs="黑体"/>
          <w:spacing w:val="-3"/>
          <w:sz w:val="28"/>
          <w:szCs w:val="28"/>
          <w:highlight w:val="none"/>
          <w:lang w:val="en-US" w:eastAsia="zh-CN"/>
        </w:rPr>
      </w:pPr>
    </w:p>
    <w:p w14:paraId="03AA5AF2">
      <w:pPr>
        <w:spacing w:line="240" w:lineRule="auto"/>
        <w:ind w:left="0"/>
        <w:jc w:val="center"/>
        <w:rPr>
          <w:rFonts w:hint="eastAsia" w:ascii="黑体" w:hAnsi="黑体" w:eastAsia="黑体" w:cs="黑体"/>
          <w:spacing w:val="-3"/>
          <w:sz w:val="28"/>
          <w:szCs w:val="28"/>
          <w:highlight w:val="none"/>
          <w:lang w:val="en-US" w:eastAsia="zh-CN"/>
        </w:rPr>
      </w:pPr>
    </w:p>
    <w:p w14:paraId="5F80571F">
      <w:pPr>
        <w:spacing w:line="240" w:lineRule="auto"/>
        <w:ind w:left="0"/>
        <w:jc w:val="center"/>
        <w:rPr>
          <w:rFonts w:hint="eastAsia" w:ascii="黑体" w:hAnsi="黑体" w:eastAsia="黑体" w:cs="黑体"/>
          <w:spacing w:val="-3"/>
          <w:sz w:val="28"/>
          <w:szCs w:val="28"/>
          <w:highlight w:val="none"/>
          <w:lang w:val="en-US" w:eastAsia="zh-CN"/>
        </w:rPr>
      </w:pPr>
    </w:p>
    <w:p w14:paraId="0F854028">
      <w:pPr>
        <w:spacing w:line="240" w:lineRule="auto"/>
        <w:ind w:left="0"/>
        <w:jc w:val="center"/>
        <w:rPr>
          <w:rFonts w:hint="eastAsia" w:ascii="黑体" w:hAnsi="黑体" w:eastAsia="黑体" w:cs="黑体"/>
          <w:spacing w:val="-3"/>
          <w:sz w:val="28"/>
          <w:szCs w:val="28"/>
          <w:highlight w:val="none"/>
          <w:lang w:val="en-US" w:eastAsia="zh-CN"/>
        </w:rPr>
      </w:pPr>
    </w:p>
    <w:p w14:paraId="31121640">
      <w:pPr>
        <w:spacing w:line="240" w:lineRule="auto"/>
        <w:ind w:left="0"/>
        <w:jc w:val="center"/>
        <w:rPr>
          <w:rFonts w:hint="eastAsia" w:ascii="黑体" w:hAnsi="黑体" w:eastAsia="黑体" w:cs="黑体"/>
          <w:spacing w:val="-3"/>
          <w:sz w:val="28"/>
          <w:szCs w:val="28"/>
          <w:highlight w:val="none"/>
          <w:lang w:val="en-US" w:eastAsia="zh-CN"/>
        </w:rPr>
      </w:pPr>
    </w:p>
    <w:p w14:paraId="203393DD">
      <w:pPr>
        <w:spacing w:line="240" w:lineRule="auto"/>
        <w:ind w:left="0"/>
        <w:jc w:val="center"/>
        <w:rPr>
          <w:rFonts w:hint="eastAsia" w:ascii="黑体" w:hAnsi="黑体" w:eastAsia="黑体" w:cs="黑体"/>
          <w:spacing w:val="-3"/>
          <w:sz w:val="28"/>
          <w:szCs w:val="28"/>
          <w:highlight w:val="none"/>
          <w:lang w:val="en-US" w:eastAsia="zh-CN"/>
        </w:rPr>
      </w:pPr>
    </w:p>
    <w:p w14:paraId="4E547D6E">
      <w:pPr>
        <w:spacing w:line="240" w:lineRule="auto"/>
        <w:ind w:left="0"/>
        <w:jc w:val="center"/>
        <w:rPr>
          <w:rFonts w:hint="eastAsia" w:ascii="黑体" w:hAnsi="黑体" w:eastAsia="黑体" w:cs="黑体"/>
          <w:spacing w:val="-3"/>
          <w:sz w:val="28"/>
          <w:szCs w:val="28"/>
          <w:highlight w:val="none"/>
          <w:lang w:val="en-US" w:eastAsia="zh-CN"/>
        </w:rPr>
      </w:pPr>
    </w:p>
    <w:p w14:paraId="09ED8D24">
      <w:pPr>
        <w:spacing w:line="240" w:lineRule="auto"/>
        <w:ind w:left="0"/>
        <w:jc w:val="center"/>
        <w:rPr>
          <w:rFonts w:hint="eastAsia" w:ascii="黑体" w:hAnsi="黑体" w:eastAsia="黑体" w:cs="黑体"/>
          <w:spacing w:val="-3"/>
          <w:sz w:val="28"/>
          <w:szCs w:val="28"/>
          <w:highlight w:val="none"/>
          <w:lang w:val="en-US" w:eastAsia="zh-CN"/>
        </w:rPr>
      </w:pPr>
    </w:p>
    <w:p w14:paraId="5446E1E1">
      <w:pPr>
        <w:spacing w:line="240" w:lineRule="auto"/>
        <w:ind w:left="0"/>
        <w:jc w:val="center"/>
        <w:rPr>
          <w:rFonts w:hint="eastAsia" w:ascii="黑体" w:hAnsi="黑体" w:eastAsia="黑体" w:cs="黑体"/>
          <w:spacing w:val="-3"/>
          <w:sz w:val="28"/>
          <w:szCs w:val="28"/>
          <w:highlight w:val="none"/>
          <w:lang w:val="en-US" w:eastAsia="zh-CN"/>
        </w:rPr>
      </w:pPr>
    </w:p>
    <w:p w14:paraId="428C2F2E">
      <w:pPr>
        <w:spacing w:line="240" w:lineRule="auto"/>
        <w:ind w:left="0"/>
        <w:jc w:val="center"/>
        <w:rPr>
          <w:rFonts w:hint="eastAsia" w:ascii="黑体" w:hAnsi="黑体" w:eastAsia="黑体" w:cs="黑体"/>
          <w:spacing w:val="-3"/>
          <w:sz w:val="28"/>
          <w:szCs w:val="28"/>
          <w:highlight w:val="none"/>
          <w:lang w:val="en-US" w:eastAsia="zh-CN"/>
        </w:rPr>
      </w:pPr>
    </w:p>
    <w:p w14:paraId="48644A74">
      <w:pPr>
        <w:spacing w:line="240" w:lineRule="auto"/>
        <w:ind w:left="0"/>
        <w:jc w:val="center"/>
        <w:rPr>
          <w:rFonts w:hint="eastAsia" w:ascii="黑体" w:hAnsi="黑体" w:eastAsia="黑体" w:cs="黑体"/>
          <w:spacing w:val="-3"/>
          <w:sz w:val="28"/>
          <w:szCs w:val="28"/>
          <w:highlight w:val="none"/>
          <w:lang w:val="en-US" w:eastAsia="zh-CN"/>
        </w:rPr>
      </w:pPr>
    </w:p>
    <w:p w14:paraId="035729CC">
      <w:pPr>
        <w:spacing w:line="240" w:lineRule="auto"/>
        <w:ind w:left="0"/>
        <w:jc w:val="center"/>
        <w:rPr>
          <w:rFonts w:hint="eastAsia" w:ascii="黑体" w:hAnsi="黑体" w:eastAsia="黑体" w:cs="黑体"/>
          <w:spacing w:val="-3"/>
          <w:sz w:val="28"/>
          <w:szCs w:val="28"/>
          <w:highlight w:val="none"/>
          <w:lang w:val="en-US" w:eastAsia="zh-CN"/>
        </w:rPr>
      </w:pPr>
    </w:p>
    <w:p w14:paraId="153EE43B">
      <w:pPr>
        <w:spacing w:line="240" w:lineRule="auto"/>
        <w:ind w:left="0"/>
        <w:jc w:val="center"/>
        <w:rPr>
          <w:rFonts w:ascii="黑体" w:hAnsi="黑体" w:eastAsia="黑体" w:cs="黑体"/>
          <w:sz w:val="28"/>
          <w:szCs w:val="28"/>
          <w:highlight w:val="none"/>
        </w:rPr>
      </w:pPr>
      <w:r>
        <w:rPr>
          <w:rFonts w:hint="eastAsia" w:ascii="黑体" w:hAnsi="黑体" w:eastAsia="黑体" w:cs="黑体"/>
          <w:spacing w:val="-3"/>
          <w:sz w:val="28"/>
          <w:szCs w:val="28"/>
          <w:highlight w:val="none"/>
          <w:lang w:val="en-US" w:eastAsia="zh-CN"/>
        </w:rPr>
        <w:t>18</w:t>
      </w:r>
      <w:r>
        <w:rPr>
          <w:rFonts w:ascii="黑体" w:hAnsi="黑体" w:eastAsia="黑体" w:cs="黑体"/>
          <w:spacing w:val="-3"/>
          <w:sz w:val="28"/>
          <w:szCs w:val="28"/>
          <w:highlight w:val="none"/>
        </w:rPr>
        <w:t>.技术偏差表</w:t>
      </w:r>
    </w:p>
    <w:tbl>
      <w:tblPr>
        <w:tblStyle w:val="22"/>
        <w:tblpPr w:leftFromText="180" w:rightFromText="180" w:vertAnchor="text" w:horzAnchor="page" w:tblpX="2028" w:tblpY="637"/>
        <w:tblOverlap w:val="never"/>
        <w:tblW w:w="82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
        <w:gridCol w:w="2691"/>
        <w:gridCol w:w="2976"/>
        <w:gridCol w:w="1629"/>
      </w:tblGrid>
      <w:tr w14:paraId="3985E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931" w:type="dxa"/>
            <w:vAlign w:val="top"/>
          </w:tcPr>
          <w:p w14:paraId="6E061EE7">
            <w:pPr>
              <w:pStyle w:val="23"/>
              <w:spacing w:before="240" w:line="223" w:lineRule="auto"/>
              <w:ind w:left="261"/>
              <w:rPr>
                <w:highlight w:val="none"/>
              </w:rPr>
            </w:pPr>
            <w:r>
              <w:rPr>
                <w:b/>
                <w:bCs/>
                <w:spacing w:val="-4"/>
                <w:highlight w:val="none"/>
              </w:rPr>
              <w:t>序号</w:t>
            </w:r>
          </w:p>
        </w:tc>
        <w:tc>
          <w:tcPr>
            <w:tcW w:w="2691" w:type="dxa"/>
            <w:vAlign w:val="top"/>
          </w:tcPr>
          <w:p w14:paraId="07BFA5C0">
            <w:pPr>
              <w:pStyle w:val="23"/>
              <w:spacing w:before="34" w:line="221" w:lineRule="auto"/>
              <w:ind w:left="928"/>
              <w:rPr>
                <w:highlight w:val="none"/>
              </w:rPr>
            </w:pPr>
            <w:r>
              <w:rPr>
                <w:b/>
                <w:bCs/>
                <w:spacing w:val="-4"/>
                <w:highlight w:val="none"/>
              </w:rPr>
              <w:t>招标文件</w:t>
            </w:r>
          </w:p>
          <w:p w14:paraId="4FE2719F">
            <w:pPr>
              <w:pStyle w:val="23"/>
              <w:spacing w:before="158" w:line="221" w:lineRule="auto"/>
              <w:ind w:left="248"/>
              <w:rPr>
                <w:highlight w:val="none"/>
              </w:rPr>
            </w:pPr>
            <w:r>
              <w:rPr>
                <w:b/>
                <w:bCs/>
                <w:spacing w:val="-3"/>
                <w:highlight w:val="none"/>
              </w:rPr>
              <w:t>章节及条款号/简要内容</w:t>
            </w:r>
          </w:p>
        </w:tc>
        <w:tc>
          <w:tcPr>
            <w:tcW w:w="2976" w:type="dxa"/>
            <w:vAlign w:val="top"/>
          </w:tcPr>
          <w:p w14:paraId="003D1EF8">
            <w:pPr>
              <w:pStyle w:val="23"/>
              <w:spacing w:before="34" w:line="221" w:lineRule="auto"/>
              <w:ind w:left="1075"/>
              <w:rPr>
                <w:highlight w:val="none"/>
              </w:rPr>
            </w:pPr>
            <w:r>
              <w:rPr>
                <w:b/>
                <w:bCs/>
                <w:spacing w:val="-4"/>
                <w:highlight w:val="none"/>
              </w:rPr>
              <w:t>投标文件</w:t>
            </w:r>
          </w:p>
          <w:p w14:paraId="00BBBBF7">
            <w:pPr>
              <w:pStyle w:val="23"/>
              <w:spacing w:before="158" w:line="221" w:lineRule="auto"/>
              <w:ind w:left="394"/>
              <w:rPr>
                <w:highlight w:val="none"/>
              </w:rPr>
            </w:pPr>
            <w:r>
              <w:rPr>
                <w:b/>
                <w:bCs/>
                <w:spacing w:val="-3"/>
                <w:highlight w:val="none"/>
              </w:rPr>
              <w:t>章节及条款号/简要内容</w:t>
            </w:r>
          </w:p>
        </w:tc>
        <w:tc>
          <w:tcPr>
            <w:tcW w:w="1629" w:type="dxa"/>
            <w:vAlign w:val="top"/>
          </w:tcPr>
          <w:p w14:paraId="3C7839C6">
            <w:pPr>
              <w:pStyle w:val="23"/>
              <w:spacing w:before="241" w:line="221" w:lineRule="auto"/>
              <w:ind w:left="398"/>
              <w:rPr>
                <w:highlight w:val="none"/>
              </w:rPr>
            </w:pPr>
            <w:r>
              <w:rPr>
                <w:b/>
                <w:bCs/>
                <w:spacing w:val="-3"/>
                <w:highlight w:val="none"/>
              </w:rPr>
              <w:t>偏差说明</w:t>
            </w:r>
          </w:p>
        </w:tc>
      </w:tr>
      <w:tr w14:paraId="33517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Align w:val="top"/>
          </w:tcPr>
          <w:p w14:paraId="4B085F2C">
            <w:pPr>
              <w:pStyle w:val="23"/>
              <w:spacing w:before="49" w:line="276" w:lineRule="exact"/>
              <w:ind w:left="436"/>
              <w:rPr>
                <w:highlight w:val="none"/>
              </w:rPr>
            </w:pPr>
            <w:r>
              <w:rPr>
                <w:position w:val="1"/>
                <w:highlight w:val="none"/>
              </w:rPr>
              <w:t>1</w:t>
            </w:r>
          </w:p>
        </w:tc>
        <w:tc>
          <w:tcPr>
            <w:tcW w:w="2691" w:type="dxa"/>
            <w:vAlign w:val="top"/>
          </w:tcPr>
          <w:p w14:paraId="1089A25D">
            <w:pPr>
              <w:rPr>
                <w:rFonts w:ascii="Arial"/>
                <w:sz w:val="21"/>
                <w:highlight w:val="none"/>
              </w:rPr>
            </w:pPr>
          </w:p>
        </w:tc>
        <w:tc>
          <w:tcPr>
            <w:tcW w:w="2976" w:type="dxa"/>
            <w:vAlign w:val="top"/>
          </w:tcPr>
          <w:p w14:paraId="466CD0A4">
            <w:pPr>
              <w:rPr>
                <w:rFonts w:ascii="Arial"/>
                <w:sz w:val="21"/>
                <w:highlight w:val="none"/>
              </w:rPr>
            </w:pPr>
          </w:p>
        </w:tc>
        <w:tc>
          <w:tcPr>
            <w:tcW w:w="1629" w:type="dxa"/>
            <w:vAlign w:val="top"/>
          </w:tcPr>
          <w:p w14:paraId="756971BD">
            <w:pPr>
              <w:rPr>
                <w:rFonts w:ascii="Arial"/>
                <w:sz w:val="21"/>
                <w:highlight w:val="none"/>
              </w:rPr>
            </w:pPr>
          </w:p>
        </w:tc>
      </w:tr>
      <w:tr w14:paraId="23371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931" w:type="dxa"/>
            <w:vAlign w:val="top"/>
          </w:tcPr>
          <w:p w14:paraId="6EB1A48B">
            <w:pPr>
              <w:pStyle w:val="23"/>
              <w:spacing w:before="48" w:line="276" w:lineRule="exact"/>
              <w:ind w:left="423"/>
              <w:rPr>
                <w:highlight w:val="none"/>
              </w:rPr>
            </w:pPr>
            <w:r>
              <w:rPr>
                <w:position w:val="1"/>
                <w:highlight w:val="none"/>
              </w:rPr>
              <w:t>2</w:t>
            </w:r>
          </w:p>
        </w:tc>
        <w:tc>
          <w:tcPr>
            <w:tcW w:w="2691" w:type="dxa"/>
            <w:vAlign w:val="top"/>
          </w:tcPr>
          <w:p w14:paraId="30AF0211">
            <w:pPr>
              <w:rPr>
                <w:rFonts w:ascii="Arial"/>
                <w:sz w:val="21"/>
                <w:highlight w:val="none"/>
              </w:rPr>
            </w:pPr>
          </w:p>
        </w:tc>
        <w:tc>
          <w:tcPr>
            <w:tcW w:w="2976" w:type="dxa"/>
            <w:vAlign w:val="top"/>
          </w:tcPr>
          <w:p w14:paraId="32833A66">
            <w:pPr>
              <w:rPr>
                <w:rFonts w:ascii="Arial"/>
                <w:sz w:val="21"/>
                <w:highlight w:val="none"/>
              </w:rPr>
            </w:pPr>
          </w:p>
        </w:tc>
        <w:tc>
          <w:tcPr>
            <w:tcW w:w="1629" w:type="dxa"/>
            <w:vAlign w:val="top"/>
          </w:tcPr>
          <w:p w14:paraId="7427731C">
            <w:pPr>
              <w:rPr>
                <w:rFonts w:ascii="Arial"/>
                <w:sz w:val="21"/>
                <w:highlight w:val="none"/>
              </w:rPr>
            </w:pPr>
          </w:p>
        </w:tc>
      </w:tr>
      <w:tr w14:paraId="12A5E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31" w:type="dxa"/>
            <w:vAlign w:val="top"/>
          </w:tcPr>
          <w:p w14:paraId="4A8F0CC4">
            <w:pPr>
              <w:pStyle w:val="23"/>
              <w:spacing w:before="48" w:line="242" w:lineRule="auto"/>
              <w:ind w:left="425"/>
              <w:rPr>
                <w:highlight w:val="none"/>
              </w:rPr>
            </w:pPr>
            <w:r>
              <w:rPr>
                <w:highlight w:val="none"/>
              </w:rPr>
              <w:t>3</w:t>
            </w:r>
          </w:p>
        </w:tc>
        <w:tc>
          <w:tcPr>
            <w:tcW w:w="2691" w:type="dxa"/>
            <w:vAlign w:val="top"/>
          </w:tcPr>
          <w:p w14:paraId="768B4078">
            <w:pPr>
              <w:rPr>
                <w:rFonts w:ascii="Arial"/>
                <w:sz w:val="21"/>
                <w:highlight w:val="none"/>
              </w:rPr>
            </w:pPr>
          </w:p>
        </w:tc>
        <w:tc>
          <w:tcPr>
            <w:tcW w:w="2976" w:type="dxa"/>
            <w:vAlign w:val="top"/>
          </w:tcPr>
          <w:p w14:paraId="186B064A">
            <w:pPr>
              <w:rPr>
                <w:rFonts w:ascii="Arial"/>
                <w:sz w:val="21"/>
                <w:highlight w:val="none"/>
              </w:rPr>
            </w:pPr>
          </w:p>
        </w:tc>
        <w:tc>
          <w:tcPr>
            <w:tcW w:w="1629" w:type="dxa"/>
            <w:vAlign w:val="top"/>
          </w:tcPr>
          <w:p w14:paraId="5C44F809">
            <w:pPr>
              <w:rPr>
                <w:rFonts w:ascii="Arial"/>
                <w:sz w:val="21"/>
                <w:highlight w:val="none"/>
              </w:rPr>
            </w:pPr>
          </w:p>
        </w:tc>
      </w:tr>
      <w:tr w14:paraId="5765B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Align w:val="top"/>
          </w:tcPr>
          <w:p w14:paraId="7BA04930">
            <w:pPr>
              <w:pStyle w:val="23"/>
              <w:spacing w:before="52" w:line="276" w:lineRule="exact"/>
              <w:ind w:left="419"/>
              <w:rPr>
                <w:highlight w:val="none"/>
              </w:rPr>
            </w:pPr>
            <w:r>
              <w:rPr>
                <w:position w:val="1"/>
                <w:highlight w:val="none"/>
              </w:rPr>
              <w:t>4</w:t>
            </w:r>
          </w:p>
        </w:tc>
        <w:tc>
          <w:tcPr>
            <w:tcW w:w="2691" w:type="dxa"/>
            <w:vAlign w:val="top"/>
          </w:tcPr>
          <w:p w14:paraId="5DD1E209">
            <w:pPr>
              <w:rPr>
                <w:rFonts w:ascii="Arial"/>
                <w:sz w:val="21"/>
                <w:highlight w:val="none"/>
              </w:rPr>
            </w:pPr>
          </w:p>
        </w:tc>
        <w:tc>
          <w:tcPr>
            <w:tcW w:w="2976" w:type="dxa"/>
            <w:vAlign w:val="top"/>
          </w:tcPr>
          <w:p w14:paraId="2A728D3F">
            <w:pPr>
              <w:rPr>
                <w:rFonts w:ascii="Arial"/>
                <w:sz w:val="21"/>
                <w:highlight w:val="none"/>
              </w:rPr>
            </w:pPr>
          </w:p>
        </w:tc>
        <w:tc>
          <w:tcPr>
            <w:tcW w:w="1629" w:type="dxa"/>
            <w:vAlign w:val="top"/>
          </w:tcPr>
          <w:p w14:paraId="3A375E97">
            <w:pPr>
              <w:rPr>
                <w:rFonts w:ascii="Arial"/>
                <w:sz w:val="21"/>
                <w:highlight w:val="none"/>
              </w:rPr>
            </w:pPr>
          </w:p>
        </w:tc>
      </w:tr>
      <w:tr w14:paraId="0B44F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31" w:type="dxa"/>
            <w:vAlign w:val="top"/>
          </w:tcPr>
          <w:p w14:paraId="544E2CAA">
            <w:pPr>
              <w:pStyle w:val="23"/>
              <w:spacing w:before="50" w:line="242" w:lineRule="auto"/>
              <w:ind w:left="425"/>
              <w:rPr>
                <w:highlight w:val="none"/>
              </w:rPr>
            </w:pPr>
            <w:r>
              <w:rPr>
                <w:highlight w:val="none"/>
              </w:rPr>
              <w:t>5</w:t>
            </w:r>
          </w:p>
        </w:tc>
        <w:tc>
          <w:tcPr>
            <w:tcW w:w="2691" w:type="dxa"/>
            <w:vAlign w:val="top"/>
          </w:tcPr>
          <w:p w14:paraId="2D5F9CC4">
            <w:pPr>
              <w:rPr>
                <w:rFonts w:ascii="Arial"/>
                <w:sz w:val="21"/>
                <w:highlight w:val="none"/>
              </w:rPr>
            </w:pPr>
          </w:p>
        </w:tc>
        <w:tc>
          <w:tcPr>
            <w:tcW w:w="2976" w:type="dxa"/>
            <w:vAlign w:val="top"/>
          </w:tcPr>
          <w:p w14:paraId="52B05D5E">
            <w:pPr>
              <w:rPr>
                <w:rFonts w:ascii="Arial"/>
                <w:sz w:val="21"/>
                <w:highlight w:val="none"/>
              </w:rPr>
            </w:pPr>
          </w:p>
        </w:tc>
        <w:tc>
          <w:tcPr>
            <w:tcW w:w="1629" w:type="dxa"/>
            <w:vAlign w:val="top"/>
          </w:tcPr>
          <w:p w14:paraId="37C20A24">
            <w:pPr>
              <w:rPr>
                <w:rFonts w:ascii="Arial"/>
                <w:sz w:val="21"/>
                <w:highlight w:val="none"/>
              </w:rPr>
            </w:pPr>
          </w:p>
        </w:tc>
      </w:tr>
      <w:tr w14:paraId="11E02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931" w:type="dxa"/>
            <w:vAlign w:val="top"/>
          </w:tcPr>
          <w:p w14:paraId="4BAB0F3A">
            <w:pPr>
              <w:pStyle w:val="23"/>
              <w:spacing w:before="34" w:line="339" w:lineRule="exact"/>
              <w:ind w:left="393"/>
              <w:rPr>
                <w:sz w:val="22"/>
                <w:szCs w:val="22"/>
                <w:highlight w:val="none"/>
              </w:rPr>
            </w:pPr>
            <w:r>
              <w:rPr>
                <w:i/>
                <w:iCs/>
                <w:spacing w:val="10"/>
                <w:position w:val="2"/>
                <w:sz w:val="22"/>
                <w:szCs w:val="22"/>
                <w:highlight w:val="none"/>
              </w:rPr>
              <w:t>…</w:t>
            </w:r>
          </w:p>
          <w:p w14:paraId="6562266E">
            <w:pPr>
              <w:pStyle w:val="23"/>
              <w:spacing w:before="71" w:line="339" w:lineRule="exact"/>
              <w:ind w:left="393"/>
              <w:rPr>
                <w:sz w:val="22"/>
                <w:szCs w:val="22"/>
                <w:highlight w:val="none"/>
              </w:rPr>
            </w:pPr>
            <w:r>
              <w:rPr>
                <w:i/>
                <w:iCs/>
                <w:spacing w:val="10"/>
                <w:position w:val="2"/>
                <w:sz w:val="22"/>
                <w:szCs w:val="22"/>
                <w:highlight w:val="none"/>
              </w:rPr>
              <w:t>…</w:t>
            </w:r>
          </w:p>
        </w:tc>
        <w:tc>
          <w:tcPr>
            <w:tcW w:w="2691" w:type="dxa"/>
            <w:vAlign w:val="top"/>
          </w:tcPr>
          <w:p w14:paraId="3AF6DCF7">
            <w:pPr>
              <w:rPr>
                <w:rFonts w:ascii="Arial"/>
                <w:sz w:val="21"/>
                <w:highlight w:val="none"/>
              </w:rPr>
            </w:pPr>
          </w:p>
        </w:tc>
        <w:tc>
          <w:tcPr>
            <w:tcW w:w="2976" w:type="dxa"/>
            <w:vAlign w:val="top"/>
          </w:tcPr>
          <w:p w14:paraId="653638C9">
            <w:pPr>
              <w:rPr>
                <w:rFonts w:ascii="Arial"/>
                <w:sz w:val="21"/>
                <w:highlight w:val="none"/>
              </w:rPr>
            </w:pPr>
          </w:p>
        </w:tc>
        <w:tc>
          <w:tcPr>
            <w:tcW w:w="1629" w:type="dxa"/>
            <w:vAlign w:val="top"/>
          </w:tcPr>
          <w:p w14:paraId="7B957C40">
            <w:pPr>
              <w:rPr>
                <w:rFonts w:ascii="Arial"/>
                <w:sz w:val="21"/>
                <w:highlight w:val="none"/>
              </w:rPr>
            </w:pPr>
          </w:p>
        </w:tc>
      </w:tr>
    </w:tbl>
    <w:p w14:paraId="6F4DC7B9">
      <w:pPr>
        <w:spacing w:line="366" w:lineRule="auto"/>
        <w:rPr>
          <w:rFonts w:ascii="Arial"/>
          <w:sz w:val="21"/>
          <w:highlight w:val="none"/>
        </w:rPr>
      </w:pPr>
    </w:p>
    <w:p w14:paraId="1D00B318">
      <w:pPr>
        <w:pStyle w:val="8"/>
        <w:spacing w:line="240" w:lineRule="auto"/>
        <w:ind w:left="0" w:right="0" w:firstLine="416" w:firstLineChars="200"/>
        <w:rPr>
          <w:rFonts w:hint="eastAsia"/>
          <w:spacing w:val="-1"/>
          <w:sz w:val="21"/>
          <w:szCs w:val="21"/>
          <w:highlight w:val="none"/>
          <w:lang w:val="en-US" w:eastAsia="zh-CN"/>
        </w:rPr>
      </w:pPr>
      <w:r>
        <w:rPr>
          <w:rFonts w:hint="eastAsia"/>
          <w:spacing w:val="-1"/>
          <w:sz w:val="21"/>
          <w:szCs w:val="21"/>
          <w:highlight w:val="none"/>
          <w:lang w:val="en-US" w:eastAsia="zh-CN"/>
        </w:rPr>
        <w:t xml:space="preserve">                                        </w:t>
      </w:r>
    </w:p>
    <w:p w14:paraId="7F6C26E4">
      <w:pPr>
        <w:pStyle w:val="8"/>
        <w:spacing w:line="240" w:lineRule="auto"/>
        <w:ind w:left="0" w:right="0" w:firstLine="416" w:firstLineChars="200"/>
        <w:rPr>
          <w:rFonts w:hint="eastAsia"/>
          <w:spacing w:val="-1"/>
          <w:sz w:val="21"/>
          <w:szCs w:val="21"/>
          <w:highlight w:val="none"/>
          <w:lang w:val="en-US" w:eastAsia="zh-CN"/>
        </w:rPr>
      </w:pPr>
    </w:p>
    <w:p w14:paraId="65D74309">
      <w:pPr>
        <w:pStyle w:val="8"/>
        <w:spacing w:line="240" w:lineRule="auto"/>
        <w:ind w:left="0" w:right="0" w:firstLine="416" w:firstLineChars="200"/>
        <w:jc w:val="left"/>
        <w:rPr>
          <w:sz w:val="21"/>
          <w:szCs w:val="21"/>
          <w:highlight w:val="none"/>
        </w:rPr>
      </w:pPr>
      <w:r>
        <w:rPr>
          <w:spacing w:val="-1"/>
          <w:sz w:val="21"/>
          <w:szCs w:val="21"/>
          <w:highlight w:val="none"/>
        </w:rPr>
        <w:t>投标人保证：除技术偏差表列出的偏差外，投标人响应招标文件</w:t>
      </w:r>
      <w:r>
        <w:rPr>
          <w:spacing w:val="16"/>
          <w:sz w:val="21"/>
          <w:szCs w:val="21"/>
          <w:highlight w:val="none"/>
        </w:rPr>
        <w:t xml:space="preserve"> </w:t>
      </w:r>
      <w:r>
        <w:rPr>
          <w:spacing w:val="-4"/>
          <w:sz w:val="21"/>
          <w:szCs w:val="21"/>
          <w:highlight w:val="none"/>
        </w:rPr>
        <w:t>的全部要求。</w:t>
      </w:r>
    </w:p>
    <w:p w14:paraId="1AFAF83C">
      <w:pPr>
        <w:pStyle w:val="8"/>
        <w:spacing w:line="240" w:lineRule="auto"/>
        <w:ind w:left="0" w:right="0" w:firstLine="0"/>
        <w:jc w:val="left"/>
        <w:rPr>
          <w:sz w:val="21"/>
          <w:szCs w:val="21"/>
          <w:highlight w:val="none"/>
        </w:rPr>
      </w:pPr>
      <w:r>
        <w:rPr>
          <w:b/>
          <w:bCs/>
          <w:spacing w:val="-16"/>
          <w:sz w:val="21"/>
          <w:szCs w:val="21"/>
          <w:highlight w:val="none"/>
        </w:rPr>
        <w:t>注：</w:t>
      </w:r>
    </w:p>
    <w:p w14:paraId="1744AA9A">
      <w:pPr>
        <w:pStyle w:val="8"/>
        <w:spacing w:line="240" w:lineRule="auto"/>
        <w:ind w:left="0" w:right="0" w:firstLine="0"/>
        <w:jc w:val="left"/>
        <w:rPr>
          <w:sz w:val="21"/>
          <w:szCs w:val="21"/>
          <w:highlight w:val="none"/>
        </w:rPr>
      </w:pPr>
      <w:r>
        <w:rPr>
          <w:b/>
          <w:bCs/>
          <w:spacing w:val="-2"/>
          <w:sz w:val="21"/>
          <w:szCs w:val="21"/>
          <w:highlight w:val="none"/>
        </w:rPr>
        <w:t>1、投标人要将投标文件和招标文件的差异之处汇集成表。投标文件对招标</w:t>
      </w:r>
      <w:r>
        <w:rPr>
          <w:b/>
          <w:bCs/>
          <w:spacing w:val="-3"/>
          <w:sz w:val="21"/>
          <w:szCs w:val="21"/>
          <w:highlight w:val="none"/>
        </w:rPr>
        <w:t>文件未提</w:t>
      </w:r>
      <w:r>
        <w:rPr>
          <w:sz w:val="21"/>
          <w:szCs w:val="21"/>
          <w:highlight w:val="none"/>
        </w:rPr>
        <w:t xml:space="preserve">  </w:t>
      </w:r>
      <w:r>
        <w:rPr>
          <w:b/>
          <w:bCs/>
          <w:spacing w:val="-3"/>
          <w:sz w:val="21"/>
          <w:szCs w:val="21"/>
          <w:highlight w:val="none"/>
        </w:rPr>
        <w:t>出异议的条款，均被视为接受和同意。投标文件与招标文件有差异之处，无论多么微小，</w:t>
      </w:r>
      <w:r>
        <w:rPr>
          <w:spacing w:val="8"/>
          <w:sz w:val="21"/>
          <w:szCs w:val="21"/>
          <w:highlight w:val="none"/>
        </w:rPr>
        <w:t xml:space="preserve"> </w:t>
      </w:r>
      <w:r>
        <w:rPr>
          <w:b/>
          <w:bCs/>
          <w:spacing w:val="-3"/>
          <w:sz w:val="21"/>
          <w:szCs w:val="21"/>
          <w:highlight w:val="none"/>
        </w:rPr>
        <w:t>均应按招标文件格式要求统一汇总说明，并标注：“正偏差”或“负偏差”。如无偏差，</w:t>
      </w:r>
      <w:r>
        <w:rPr>
          <w:spacing w:val="8"/>
          <w:sz w:val="21"/>
          <w:szCs w:val="21"/>
          <w:highlight w:val="none"/>
        </w:rPr>
        <w:t xml:space="preserve"> </w:t>
      </w:r>
      <w:r>
        <w:rPr>
          <w:b/>
          <w:bCs/>
          <w:spacing w:val="-6"/>
          <w:sz w:val="21"/>
          <w:szCs w:val="21"/>
          <w:highlight w:val="none"/>
        </w:rPr>
        <w:t>应标注：“无”。</w:t>
      </w:r>
    </w:p>
    <w:p w14:paraId="12810F1F">
      <w:pPr>
        <w:spacing w:line="240" w:lineRule="auto"/>
        <w:ind w:left="0" w:right="0" w:firstLine="0"/>
        <w:jc w:val="left"/>
        <w:outlineLvl w:val="1"/>
        <w:rPr>
          <w:rFonts w:ascii="黑体" w:hAnsi="黑体" w:eastAsia="黑体" w:cs="黑体"/>
          <w:sz w:val="31"/>
          <w:szCs w:val="31"/>
          <w:highlight w:val="none"/>
        </w:rPr>
      </w:pPr>
      <w:bookmarkStart w:id="108" w:name="_Toc27038"/>
      <w:r>
        <w:rPr>
          <w:b/>
          <w:bCs/>
          <w:spacing w:val="-2"/>
          <w:sz w:val="21"/>
          <w:szCs w:val="21"/>
          <w:highlight w:val="none"/>
        </w:rPr>
        <w:t>2、对于投标人提出的上述差异，有可能</w:t>
      </w:r>
      <w:r>
        <w:rPr>
          <w:spacing w:val="1"/>
          <w:sz w:val="21"/>
          <w:szCs w:val="21"/>
          <w:highlight w:val="none"/>
        </w:rPr>
        <w:t xml:space="preserve"> </w:t>
      </w:r>
      <w:r>
        <w:rPr>
          <w:b/>
          <w:bCs/>
          <w:spacing w:val="-6"/>
          <w:sz w:val="21"/>
          <w:szCs w:val="21"/>
          <w:highlight w:val="none"/>
        </w:rPr>
        <w:t>导致其投标被否决。</w:t>
      </w:r>
      <w:bookmarkEnd w:id="108"/>
    </w:p>
    <w:bookmarkEnd w:id="2"/>
    <w:p w14:paraId="510D0FBA">
      <w:pPr>
        <w:spacing w:line="470" w:lineRule="auto"/>
        <w:jc w:val="left"/>
        <w:rPr>
          <w:rFonts w:ascii="Arial"/>
          <w:sz w:val="21"/>
          <w:highlight w:val="none"/>
        </w:rPr>
      </w:pPr>
    </w:p>
    <w:p w14:paraId="4E2CB0D3">
      <w:pPr>
        <w:spacing w:line="354" w:lineRule="auto"/>
        <w:rPr>
          <w:rFonts w:ascii="Arial"/>
          <w:sz w:val="21"/>
          <w:highlight w:val="none"/>
        </w:rPr>
      </w:pPr>
      <w:bookmarkStart w:id="109" w:name="bookmark180"/>
      <w:bookmarkEnd w:id="109"/>
    </w:p>
    <w:p w14:paraId="62239960">
      <w:pPr>
        <w:spacing w:line="246" w:lineRule="auto"/>
        <w:rPr>
          <w:rFonts w:ascii="Arial"/>
          <w:sz w:val="21"/>
          <w:highlight w:val="none"/>
        </w:rPr>
      </w:pPr>
      <w:bookmarkStart w:id="110" w:name="bookmark155"/>
      <w:bookmarkEnd w:id="110"/>
    </w:p>
    <w:p w14:paraId="42B95E21">
      <w:pPr>
        <w:spacing w:before="136" w:line="226" w:lineRule="auto"/>
        <w:ind w:left="4410"/>
        <w:rPr>
          <w:rFonts w:ascii="黑体" w:hAnsi="黑体" w:eastAsia="黑体" w:cs="黑体"/>
          <w:sz w:val="42"/>
          <w:szCs w:val="42"/>
          <w:highlight w:val="none"/>
          <w:u w:val="single" w:color="auto"/>
        </w:rPr>
      </w:pPr>
    </w:p>
    <w:p w14:paraId="4CD2192D">
      <w:pPr>
        <w:spacing w:before="136" w:line="226" w:lineRule="auto"/>
        <w:ind w:left="4410"/>
        <w:rPr>
          <w:rFonts w:ascii="黑体" w:hAnsi="黑体" w:eastAsia="黑体" w:cs="黑体"/>
          <w:sz w:val="42"/>
          <w:szCs w:val="42"/>
          <w:highlight w:val="none"/>
          <w:u w:val="single" w:color="auto"/>
        </w:rPr>
      </w:pPr>
    </w:p>
    <w:p w14:paraId="2B80DCC6">
      <w:pPr>
        <w:spacing w:before="136" w:line="226" w:lineRule="auto"/>
        <w:ind w:left="4410"/>
        <w:rPr>
          <w:rFonts w:ascii="黑体" w:hAnsi="黑体" w:eastAsia="黑体" w:cs="黑体"/>
          <w:sz w:val="42"/>
          <w:szCs w:val="42"/>
          <w:highlight w:val="none"/>
          <w:u w:val="single" w:color="auto"/>
        </w:rPr>
      </w:pPr>
    </w:p>
    <w:p w14:paraId="0368A534">
      <w:pPr>
        <w:spacing w:before="136" w:line="226" w:lineRule="auto"/>
        <w:ind w:left="4410"/>
        <w:rPr>
          <w:rFonts w:ascii="黑体" w:hAnsi="黑体" w:eastAsia="黑体" w:cs="黑体"/>
          <w:sz w:val="42"/>
          <w:szCs w:val="42"/>
          <w:highlight w:val="none"/>
          <w:u w:val="single" w:color="auto"/>
        </w:rPr>
      </w:pPr>
    </w:p>
    <w:p w14:paraId="17E82DDB">
      <w:pPr>
        <w:spacing w:before="136" w:line="226" w:lineRule="auto"/>
        <w:ind w:left="4410"/>
        <w:rPr>
          <w:rFonts w:ascii="黑体" w:hAnsi="黑体" w:eastAsia="黑体" w:cs="黑体"/>
          <w:sz w:val="42"/>
          <w:szCs w:val="42"/>
          <w:highlight w:val="none"/>
          <w:u w:val="single" w:color="auto"/>
        </w:rPr>
      </w:pPr>
    </w:p>
    <w:p w14:paraId="53964F66">
      <w:pPr>
        <w:spacing w:before="136" w:line="226" w:lineRule="auto"/>
        <w:ind w:left="4410"/>
        <w:rPr>
          <w:rFonts w:ascii="黑体" w:hAnsi="黑体" w:eastAsia="黑体" w:cs="黑体"/>
          <w:sz w:val="42"/>
          <w:szCs w:val="42"/>
          <w:highlight w:val="none"/>
          <w:u w:val="single" w:color="auto"/>
        </w:rPr>
      </w:pPr>
    </w:p>
    <w:p w14:paraId="1F3E2D4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19.其他应提供的证明资料</w:t>
      </w:r>
    </w:p>
    <w:p w14:paraId="550F2583">
      <w:pPr>
        <w:keepNext w:val="0"/>
        <w:keepLines w:val="0"/>
        <w:pageBreakBefore w:val="0"/>
        <w:widowControl w:val="0"/>
        <w:numPr>
          <w:ilvl w:val="0"/>
          <w:numId w:val="10"/>
        </w:numPr>
        <w:shd w:val="clear"/>
        <w:kinsoku/>
        <w:wordWrap/>
        <w:overflowPunct/>
        <w:topLinePunct w:val="0"/>
        <w:autoSpaceDE/>
        <w:autoSpaceDN/>
        <w:bidi w:val="0"/>
        <w:adjustRightInd w:val="0"/>
        <w:snapToGrid w:val="0"/>
        <w:spacing w:line="240" w:lineRule="auto"/>
        <w:ind w:left="70" w:leftChars="0" w:firstLine="560" w:firstLineChars="0"/>
        <w:jc w:val="left"/>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营业执照副本</w:t>
      </w:r>
      <w:r>
        <w:rPr>
          <w:rFonts w:hint="eastAsia" w:ascii="仿宋" w:hAnsi="仿宋" w:eastAsia="仿宋" w:cs="仿宋"/>
          <w:b w:val="0"/>
          <w:bCs w:val="0"/>
          <w:color w:val="auto"/>
          <w:sz w:val="28"/>
          <w:szCs w:val="28"/>
          <w:highlight w:val="none"/>
          <w:lang w:val="en-US" w:eastAsia="zh-CN"/>
        </w:rPr>
        <w:t>复印件</w:t>
      </w:r>
      <w:r>
        <w:rPr>
          <w:rFonts w:hint="eastAsia" w:ascii="仿宋" w:hAnsi="仿宋" w:eastAsia="仿宋" w:cs="仿宋"/>
          <w:b w:val="0"/>
          <w:bCs w:val="0"/>
          <w:color w:val="auto"/>
          <w:sz w:val="28"/>
          <w:szCs w:val="28"/>
          <w:highlight w:val="none"/>
          <w:lang w:eastAsia="zh-CN"/>
        </w:rPr>
        <w:t>；</w:t>
      </w:r>
    </w:p>
    <w:p w14:paraId="0003A865">
      <w:pPr>
        <w:keepNext w:val="0"/>
        <w:keepLines w:val="0"/>
        <w:pageBreakBefore w:val="0"/>
        <w:widowControl w:val="0"/>
        <w:numPr>
          <w:ilvl w:val="0"/>
          <w:numId w:val="10"/>
        </w:numPr>
        <w:shd w:val="clear"/>
        <w:kinsoku/>
        <w:wordWrap/>
        <w:overflowPunct/>
        <w:topLinePunct w:val="0"/>
        <w:autoSpaceDE/>
        <w:autoSpaceDN/>
        <w:bidi w:val="0"/>
        <w:adjustRightInd w:val="0"/>
        <w:snapToGrid w:val="0"/>
        <w:spacing w:line="240" w:lineRule="auto"/>
        <w:ind w:left="70" w:leftChars="0" w:firstLine="560" w:firstLineChars="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缴纳税收证明资料（近</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个月）</w:t>
      </w:r>
      <w:r>
        <w:rPr>
          <w:rFonts w:hint="eastAsia" w:ascii="仿宋" w:hAnsi="仿宋" w:eastAsia="仿宋" w:cs="仿宋"/>
          <w:b w:val="0"/>
          <w:bCs w:val="0"/>
          <w:color w:val="auto"/>
          <w:sz w:val="28"/>
          <w:szCs w:val="28"/>
          <w:highlight w:val="none"/>
          <w:lang w:val="en-US" w:eastAsia="zh-CN"/>
        </w:rPr>
        <w:t>完税证明或增值税申报表；</w:t>
      </w:r>
    </w:p>
    <w:p w14:paraId="37EFE979">
      <w:pPr>
        <w:keepNext w:val="0"/>
        <w:keepLines w:val="0"/>
        <w:pageBreakBefore w:val="0"/>
        <w:widowControl w:val="0"/>
        <w:numPr>
          <w:ilvl w:val="0"/>
          <w:numId w:val="10"/>
        </w:numPr>
        <w:shd w:val="clear"/>
        <w:kinsoku/>
        <w:wordWrap/>
        <w:overflowPunct/>
        <w:topLinePunct w:val="0"/>
        <w:autoSpaceDE/>
        <w:autoSpaceDN/>
        <w:bidi w:val="0"/>
        <w:adjustRightInd w:val="0"/>
        <w:snapToGrid w:val="0"/>
        <w:spacing w:line="240" w:lineRule="auto"/>
        <w:ind w:left="70" w:leftChars="0" w:firstLine="560" w:firstLineChars="0"/>
        <w:jc w:val="left"/>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上年度纳税信用等级B级（含）以上，新注册企业M级；</w:t>
      </w:r>
    </w:p>
    <w:p w14:paraId="4FB4BAA9">
      <w:pPr>
        <w:keepNext w:val="0"/>
        <w:keepLines w:val="0"/>
        <w:pageBreakBefore w:val="0"/>
        <w:widowControl w:val="0"/>
        <w:numPr>
          <w:ilvl w:val="0"/>
          <w:numId w:val="10"/>
        </w:numPr>
        <w:shd w:val="clear"/>
        <w:kinsoku/>
        <w:wordWrap/>
        <w:overflowPunct/>
        <w:topLinePunct w:val="0"/>
        <w:autoSpaceDE/>
        <w:autoSpaceDN/>
        <w:bidi w:val="0"/>
        <w:adjustRightInd w:val="0"/>
        <w:snapToGrid w:val="0"/>
        <w:spacing w:line="240" w:lineRule="auto"/>
        <w:ind w:left="70" w:leftChars="0" w:firstLine="560" w:firstLineChars="0"/>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color w:val="auto"/>
          <w:sz w:val="28"/>
          <w:szCs w:val="28"/>
          <w:highlight w:val="none"/>
        </w:rPr>
        <w:t>缴纳社会保险证明资料（近</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个月）；</w:t>
      </w:r>
    </w:p>
    <w:p w14:paraId="3F79CAFA">
      <w:pPr>
        <w:keepNext w:val="0"/>
        <w:keepLines w:val="0"/>
        <w:pageBreakBefore w:val="0"/>
        <w:widowControl w:val="0"/>
        <w:numPr>
          <w:ilvl w:val="0"/>
          <w:numId w:val="10"/>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spacing w:val="-1"/>
          <w:sz w:val="28"/>
          <w:szCs w:val="28"/>
          <w:highlight w:val="none"/>
        </w:rPr>
      </w:pPr>
      <w:r>
        <w:rPr>
          <w:rFonts w:hint="eastAsia" w:ascii="仿宋" w:hAnsi="仿宋" w:eastAsia="仿宋" w:cs="仿宋"/>
          <w:spacing w:val="-1"/>
          <w:sz w:val="28"/>
          <w:szCs w:val="28"/>
          <w:highlight w:val="none"/>
          <w:lang w:val="en-US" w:eastAsia="zh-CN"/>
        </w:rPr>
        <w:t>近三年无重大违法记录证明</w:t>
      </w:r>
    </w:p>
    <w:p w14:paraId="36371D3A">
      <w:pPr>
        <w:spacing w:line="244" w:lineRule="auto"/>
        <w:rPr>
          <w:rFonts w:ascii="Arial"/>
          <w:sz w:val="21"/>
          <w:highlight w:val="none"/>
        </w:rPr>
      </w:pPr>
    </w:p>
    <w:p w14:paraId="43E66ECF">
      <w:pPr>
        <w:spacing w:line="244" w:lineRule="auto"/>
        <w:rPr>
          <w:rFonts w:ascii="Arial"/>
          <w:sz w:val="21"/>
          <w:highlight w:val="none"/>
        </w:rPr>
      </w:pPr>
    </w:p>
    <w:p w14:paraId="3CA0EE2C">
      <w:pPr>
        <w:spacing w:line="245" w:lineRule="auto"/>
        <w:rPr>
          <w:rFonts w:ascii="Arial"/>
          <w:sz w:val="21"/>
          <w:highlight w:val="none"/>
        </w:rPr>
      </w:pPr>
    </w:p>
    <w:sectPr>
      <w:footerReference r:id="rId18" w:type="default"/>
      <w:pgSz w:w="12240" w:h="15840"/>
      <w:pgMar w:top="1346" w:right="1836" w:bottom="1121" w:left="1836" w:header="0" w:footer="894" w:gutter="0"/>
      <w:pgNumType w:fmt="decimal"/>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闫晓伟" w:date="2026-06-15T10:55:22Z" w:initials="">
    <w:p w14:paraId="3982691E">
      <w:pPr>
        <w:pStyle w:val="7"/>
        <w:rPr>
          <w:rFonts w:hint="default" w:eastAsia="宋体"/>
          <w:lang w:val="en-US" w:eastAsia="zh-CN"/>
        </w:rPr>
      </w:pPr>
      <w:r>
        <w:rPr>
          <w:rFonts w:hint="eastAsia" w:eastAsia="宋体"/>
          <w:lang w:val="en-US" w:eastAsia="zh-CN"/>
        </w:rPr>
        <w:t>是否可以增加一定比例（如30%）的预付款？</w:t>
      </w:r>
    </w:p>
  </w:comment>
  <w:comment w:id="1" w:author="徐梦竹律师" w:date="2026-06-05T17:17:52Z" w:initials="">
    <w:p w14:paraId="0404B560">
      <w:pPr>
        <w:pStyle w:val="7"/>
        <w:rPr>
          <w:rFonts w:hint="default" w:eastAsia="宋体"/>
          <w:lang w:val="en-US" w:eastAsia="zh-CN"/>
        </w:rPr>
      </w:pPr>
      <w:r>
        <w:rPr>
          <w:rFonts w:hint="eastAsia" w:eastAsia="宋体"/>
          <w:lang w:val="en-US" w:eastAsia="zh-CN"/>
        </w:rPr>
        <w:t>建议补充付款前提：乙方提供符合甲方要求的发票后。</w:t>
      </w:r>
    </w:p>
  </w:comment>
  <w:comment w:id="2" w:author="徐梦竹律师" w:date="2026-06-08T14:03:49Z" w:initials="">
    <w:p w14:paraId="06341296">
      <w:pPr>
        <w:pStyle w:val="7"/>
        <w:rPr>
          <w:rFonts w:hint="default" w:eastAsia="宋体"/>
          <w:lang w:val="en-US" w:eastAsia="zh-CN"/>
        </w:rPr>
      </w:pPr>
      <w:r>
        <w:rPr>
          <w:rFonts w:hint="eastAsia" w:eastAsia="宋体"/>
          <w:lang w:val="en-US" w:eastAsia="zh-CN"/>
        </w:rPr>
        <w:t>提示核实，确保与评分标准一致</w:t>
      </w:r>
    </w:p>
  </w:comment>
  <w:comment w:id="3" w:author="徐梦竹律师" w:date="2026-06-05T17:20:16Z" w:initials="">
    <w:p w14:paraId="7F0184F6">
      <w:pPr>
        <w:pStyle w:val="7"/>
        <w:rPr>
          <w:rFonts w:hint="default" w:eastAsia="宋体"/>
          <w:lang w:val="en-US" w:eastAsia="zh-CN"/>
        </w:rPr>
      </w:pPr>
      <w:r>
        <w:rPr>
          <w:rFonts w:hint="eastAsia" w:eastAsia="宋体"/>
          <w:lang w:val="en-US" w:eastAsia="zh-CN"/>
        </w:rPr>
        <w:t>此处是否应为采购信息发布</w:t>
      </w:r>
    </w:p>
  </w:comment>
  <w:comment w:id="4" w:author="徐梦竹律师" w:date="2026-06-05T17:20:42Z" w:initials="">
    <w:p w14:paraId="5DB48D49">
      <w:pPr>
        <w:pStyle w:val="7"/>
        <w:rPr>
          <w:rFonts w:hint="default" w:eastAsia="宋体"/>
          <w:lang w:val="en-US" w:eastAsia="zh-CN"/>
        </w:rPr>
      </w:pPr>
      <w:r>
        <w:rPr>
          <w:rFonts w:hint="eastAsia" w:eastAsia="宋体"/>
          <w:lang w:val="en-US" w:eastAsia="zh-CN"/>
        </w:rPr>
        <w:t>提示补充空白处</w:t>
      </w:r>
    </w:p>
  </w:comment>
  <w:comment w:id="5" w:author="徐梦竹律师" w:date="2026-06-05T17:20:54Z" w:initials="">
    <w:p w14:paraId="2C612BAA">
      <w:pPr>
        <w:pStyle w:val="7"/>
        <w:rPr>
          <w:rFonts w:hint="eastAsia" w:eastAsia="宋体"/>
          <w:lang w:val="en-US" w:eastAsia="zh-CN"/>
        </w:rPr>
      </w:pPr>
      <w:r>
        <w:rPr>
          <w:rFonts w:hint="eastAsia" w:eastAsia="宋体"/>
          <w:lang w:val="en-US" w:eastAsia="zh-CN"/>
        </w:rPr>
        <w:t>提示补充空白处</w:t>
      </w:r>
    </w:p>
  </w:comment>
  <w:comment w:id="6" w:author="徐梦竹律师" w:date="2026-06-05T16:57:17Z" w:initials="">
    <w:p w14:paraId="46C91571">
      <w:pPr>
        <w:pStyle w:val="7"/>
        <w:rPr>
          <w:rFonts w:hint="default" w:eastAsia="宋体"/>
          <w:lang w:val="en-US" w:eastAsia="zh-CN"/>
        </w:rPr>
      </w:pPr>
      <w:r>
        <w:rPr>
          <w:rFonts w:hint="eastAsia" w:eastAsia="宋体"/>
          <w:lang w:val="en-US" w:eastAsia="zh-CN"/>
        </w:rPr>
        <w:t>且中标人应赔偿给采购人造成的损失</w:t>
      </w:r>
    </w:p>
  </w:comment>
  <w:comment w:id="7" w:author="徐梦竹律师" w:date="2026-06-05T13:33:05Z" w:initials="">
    <w:p w14:paraId="2F59CAAF">
      <w:pPr>
        <w:pStyle w:val="7"/>
        <w:rPr>
          <w:rFonts w:hint="default" w:eastAsia="宋体"/>
          <w:lang w:val="en-US" w:eastAsia="zh-CN"/>
        </w:rPr>
      </w:pPr>
      <w:r>
        <w:rPr>
          <w:rFonts w:hint="eastAsia" w:eastAsia="宋体"/>
          <w:lang w:val="en-US" w:eastAsia="zh-CN"/>
        </w:rPr>
        <w:t>建议增加：中标人因自身原因不能签订合同或履行合同的，应赔偿采购人的损失。</w:t>
      </w:r>
    </w:p>
  </w:comment>
  <w:comment w:id="8" w:author="徐梦竹律师" w:date="2026-06-08T14:04:32Z" w:initials="">
    <w:p w14:paraId="7BA11D19">
      <w:pPr>
        <w:pStyle w:val="7"/>
        <w:rPr>
          <w:rFonts w:hint="default" w:eastAsia="宋体"/>
          <w:lang w:val="en-US" w:eastAsia="zh-CN"/>
        </w:rPr>
      </w:pPr>
      <w:r>
        <w:rPr>
          <w:rFonts w:hint="eastAsia" w:eastAsia="宋体"/>
          <w:lang w:val="en-US" w:eastAsia="zh-CN"/>
        </w:rPr>
        <w:t>提示核实，确保与询价函要求一致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982691E" w15:done="0"/>
  <w15:commentEx w15:paraId="0404B560" w15:done="0"/>
  <w15:commentEx w15:paraId="06341296" w15:done="0"/>
  <w15:commentEx w15:paraId="7F0184F6" w15:done="0"/>
  <w15:commentEx w15:paraId="5DB48D49" w15:done="0"/>
  <w15:commentEx w15:paraId="2C612BAA" w15:done="0"/>
  <w15:commentEx w15:paraId="46C91571" w15:done="0"/>
  <w15:commentEx w15:paraId="2F59CAAF" w15:done="0"/>
  <w15:commentEx w15:paraId="7BA11D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188598-8297-4D0D-ADB7-0D1EF5AD21DF}"/>
  </w:font>
  <w:font w:name="黑体">
    <w:panose1 w:val="02010609060101010101"/>
    <w:charset w:val="86"/>
    <w:family w:val="auto"/>
    <w:pitch w:val="default"/>
    <w:sig w:usb0="800002BF" w:usb1="38CF7CFA" w:usb2="00000016" w:usb3="00000000" w:csb0="00040001" w:csb1="00000000"/>
    <w:embedRegular r:id="rId2" w:fontKey="{FE2097EA-C8A4-4A21-9EE1-D9F406A79B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F386BA0-D638-41CB-AAFA-B5D8F449F4BA}"/>
  </w:font>
  <w:font w:name="Arial Unicode MS">
    <w:altName w:val="宋体"/>
    <w:panose1 w:val="020B0604020202020204"/>
    <w:charset w:val="86"/>
    <w:family w:val="swiss"/>
    <w:pitch w:val="default"/>
    <w:sig w:usb0="00000000" w:usb1="00000000" w:usb2="0000003F" w:usb3="00000000" w:csb0="603F01FF" w:csb1="FFFF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51F0E86E-3B0C-4AEE-A035-0AD1B027A4B9}"/>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304D3450-498D-45F6-A5D4-07BA5CF6F0DD}"/>
  </w:font>
  <w:font w:name="微软雅黑">
    <w:panose1 w:val="020B0503020204020204"/>
    <w:charset w:val="86"/>
    <w:family w:val="swiss"/>
    <w:pitch w:val="default"/>
    <w:sig w:usb0="80000287" w:usb1="2ACF3C50" w:usb2="00000016" w:usb3="00000000" w:csb0="0004001F" w:csb1="00000000"/>
    <w:embedRegular r:id="rId6" w:fontKey="{DB521A9E-91B3-43A5-B0EE-29BFE4D11887}"/>
  </w:font>
  <w:font w:name="_x000B__x000C_">
    <w:altName w:val="Times New Roman"/>
    <w:panose1 w:val="00000000000000000000"/>
    <w:charset w:val="00"/>
    <w:family w:val="roman"/>
    <w:pitch w:val="default"/>
    <w:sig w:usb0="00000000" w:usb1="00000000" w:usb2="00000000" w:usb3="00000000" w:csb0="00040001" w:csb1="00000000"/>
    <w:embedRegular r:id="rId7" w:fontKey="{AD1B00CE-7B3C-4799-8507-3B525C21EC3F}"/>
  </w:font>
  <w:font w:name="方正小标宋_GBK">
    <w:panose1 w:val="02000000000000000000"/>
    <w:charset w:val="86"/>
    <w:family w:val="auto"/>
    <w:pitch w:val="default"/>
    <w:sig w:usb0="A00002BF" w:usb1="38CF7CFA" w:usb2="00082016" w:usb3="00000000" w:csb0="00040001" w:csb1="00000000"/>
    <w:embedRegular r:id="rId8" w:fontKey="{19C1428E-827C-4789-AFD9-230937E8C544}"/>
  </w:font>
  <w:font w:name="方正仿宋简体">
    <w:panose1 w:val="02000000000000000000"/>
    <w:charset w:val="86"/>
    <w:family w:val="auto"/>
    <w:pitch w:val="default"/>
    <w:sig w:usb0="A00002BF" w:usb1="184F6CFA" w:usb2="00000012" w:usb3="00000000" w:csb0="00040001" w:csb1="00000000"/>
    <w:embedRegular r:id="rId9" w:fontKey="{7E3B5250-0E7A-46AC-82AC-17F1BBE064C0}"/>
  </w:font>
  <w:font w:name="WPSEMBED3">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1BEAB">
    <w:pPr>
      <w:spacing w:line="236" w:lineRule="auto"/>
      <w:ind w:left="4243"/>
      <w:rPr>
        <w:rFonts w:ascii="Calibri" w:hAnsi="Calibri" w:eastAsia="Calibri" w:cs="Calibr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91741">
    <w:pPr>
      <w:pStyle w:val="8"/>
      <w:spacing w:line="230" w:lineRule="auto"/>
      <w:ind w:left="5762"/>
      <w:rPr>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6182D">
    <w:pPr>
      <w:spacing w:line="236" w:lineRule="auto"/>
      <w:ind w:left="4200"/>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E2356">
    <w:pPr>
      <w:spacing w:line="236" w:lineRule="auto"/>
      <w:ind w:left="4230"/>
      <w:rPr>
        <w:rFonts w:ascii="Calibri" w:hAnsi="Calibri" w:eastAsia="Calibri" w:cs="Calibr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8533A">
    <w:pPr>
      <w:spacing w:line="236" w:lineRule="auto"/>
      <w:ind w:left="4233"/>
      <w:rPr>
        <w:rFonts w:ascii="Calibri" w:hAnsi="Calibri" w:eastAsia="Calibri" w:cs="Calibr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C7170">
    <w:pPr>
      <w:pStyle w:val="11"/>
    </w:pPr>
  </w:p>
  <w:p w14:paraId="59AF6C08">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79663">
    <w:pPr>
      <w:pStyle w:val="8"/>
      <w:spacing w:line="230" w:lineRule="auto"/>
      <w:ind w:left="5762"/>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98047">
    <w:pPr>
      <w:pStyle w:val="8"/>
      <w:spacing w:line="230" w:lineRule="auto"/>
      <w:ind w:left="5762"/>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6570C">
    <w:pPr>
      <w:pStyle w:val="8"/>
      <w:spacing w:line="230" w:lineRule="auto"/>
      <w:ind w:left="5762"/>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44564">
    <w:pPr>
      <w:pStyle w:val="8"/>
      <w:spacing w:line="230" w:lineRule="auto"/>
      <w:ind w:left="5762"/>
      <w:rPr>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DCC73">
    <w:pPr>
      <w:pStyle w:val="8"/>
      <w:spacing w:line="230" w:lineRule="auto"/>
      <w:ind w:left="5762"/>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0511F">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C30CC9"/>
    <w:multiLevelType w:val="singleLevel"/>
    <w:tmpl w:val="97C30CC9"/>
    <w:lvl w:ilvl="0" w:tentative="0">
      <w:start w:val="2"/>
      <w:numFmt w:val="chineseCounting"/>
      <w:suff w:val="space"/>
      <w:lvlText w:val="第%1章"/>
      <w:lvlJc w:val="left"/>
      <w:rPr>
        <w:rFonts w:hint="eastAsia"/>
      </w:rPr>
    </w:lvl>
  </w:abstractNum>
  <w:abstractNum w:abstractNumId="1">
    <w:nsid w:val="AB7A9786"/>
    <w:multiLevelType w:val="singleLevel"/>
    <w:tmpl w:val="AB7A9786"/>
    <w:lvl w:ilvl="0" w:tentative="0">
      <w:start w:val="1"/>
      <w:numFmt w:val="decimal"/>
      <w:suff w:val="nothing"/>
      <w:lvlText w:val="（%1）"/>
      <w:lvlJc w:val="left"/>
      <w:pPr>
        <w:ind w:left="70"/>
      </w:pPr>
    </w:lvl>
  </w:abstractNum>
  <w:abstractNum w:abstractNumId="2">
    <w:nsid w:val="AC0DE92F"/>
    <w:multiLevelType w:val="singleLevel"/>
    <w:tmpl w:val="AC0DE92F"/>
    <w:lvl w:ilvl="0" w:tentative="0">
      <w:start w:val="1"/>
      <w:numFmt w:val="decimal"/>
      <w:lvlText w:val="%1."/>
      <w:lvlJc w:val="left"/>
      <w:pPr>
        <w:tabs>
          <w:tab w:val="left" w:pos="312"/>
        </w:tabs>
      </w:pPr>
    </w:lvl>
  </w:abstractNum>
  <w:abstractNum w:abstractNumId="3">
    <w:nsid w:val="CD4C943F"/>
    <w:multiLevelType w:val="singleLevel"/>
    <w:tmpl w:val="CD4C943F"/>
    <w:lvl w:ilvl="0" w:tentative="0">
      <w:start w:val="1"/>
      <w:numFmt w:val="chineseCounting"/>
      <w:suff w:val="nothing"/>
      <w:lvlText w:val="%1、"/>
      <w:lvlJc w:val="left"/>
      <w:rPr>
        <w:rFonts w:hint="eastAsia"/>
      </w:rPr>
    </w:lvl>
  </w:abstractNum>
  <w:abstractNum w:abstractNumId="4">
    <w:nsid w:val="13C83CB3"/>
    <w:multiLevelType w:val="singleLevel"/>
    <w:tmpl w:val="13C83CB3"/>
    <w:lvl w:ilvl="0" w:tentative="0">
      <w:start w:val="1"/>
      <w:numFmt w:val="decimal"/>
      <w:lvlText w:val="%1."/>
      <w:lvlJc w:val="left"/>
      <w:pPr>
        <w:tabs>
          <w:tab w:val="left" w:pos="312"/>
        </w:tabs>
      </w:pPr>
    </w:lvl>
  </w:abstractNum>
  <w:abstractNum w:abstractNumId="5">
    <w:nsid w:val="1A4A02AE"/>
    <w:multiLevelType w:val="singleLevel"/>
    <w:tmpl w:val="1A4A02AE"/>
    <w:lvl w:ilvl="0" w:tentative="0">
      <w:start w:val="1"/>
      <w:numFmt w:val="decimal"/>
      <w:lvlText w:val="%1."/>
      <w:lvlJc w:val="left"/>
      <w:pPr>
        <w:tabs>
          <w:tab w:val="left" w:pos="312"/>
        </w:tabs>
      </w:pPr>
    </w:lvl>
  </w:abstractNum>
  <w:abstractNum w:abstractNumId="6">
    <w:nsid w:val="1C5A7096"/>
    <w:multiLevelType w:val="multilevel"/>
    <w:tmpl w:val="1C5A709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67E571C"/>
    <w:multiLevelType w:val="singleLevel"/>
    <w:tmpl w:val="267E571C"/>
    <w:lvl w:ilvl="0" w:tentative="0">
      <w:start w:val="5"/>
      <w:numFmt w:val="decimal"/>
      <w:suff w:val="nothing"/>
      <w:lvlText w:val="%1、"/>
      <w:lvlJc w:val="left"/>
    </w:lvl>
  </w:abstractNum>
  <w:abstractNum w:abstractNumId="8">
    <w:nsid w:val="557BC311"/>
    <w:multiLevelType w:val="singleLevel"/>
    <w:tmpl w:val="557BC311"/>
    <w:lvl w:ilvl="0" w:tentative="0">
      <w:start w:val="1"/>
      <w:numFmt w:val="decimal"/>
      <w:suff w:val="nothing"/>
      <w:lvlText w:val="（%1）"/>
      <w:lvlJc w:val="left"/>
      <w:pPr>
        <w:ind w:left="70"/>
      </w:pPr>
    </w:lvl>
  </w:abstractNum>
  <w:abstractNum w:abstractNumId="9">
    <w:nsid w:val="5B307FC9"/>
    <w:multiLevelType w:val="multilevel"/>
    <w:tmpl w:val="5B307FC9"/>
    <w:lvl w:ilvl="0" w:tentative="0">
      <w:start w:val="1"/>
      <w:numFmt w:val="decimal"/>
      <w:suff w:val="space"/>
      <w:lvlText w:val="第%1章"/>
      <w:lvlJc w:val="left"/>
      <w:pPr>
        <w:ind w:left="432" w:hanging="432"/>
      </w:pPr>
      <w:rPr>
        <w:rFonts w:hint="default" w:ascii="方正小标宋简体" w:hAnsi="方正小标宋简体" w:eastAsia="方正小标宋简体" w:cs="方正小标宋简体"/>
        <w:b w:val="0"/>
        <w:bCs/>
        <w:i w:val="0"/>
        <w:sz w:val="36"/>
      </w:rPr>
    </w:lvl>
    <w:lvl w:ilvl="1" w:tentative="0">
      <w:start w:val="1"/>
      <w:numFmt w:val="decimal"/>
      <w:suff w:val="space"/>
      <w:lvlText w:val="%1.%2"/>
      <w:lvlJc w:val="left"/>
      <w:pPr>
        <w:ind w:left="576" w:hanging="576"/>
      </w:pPr>
      <w:rPr>
        <w:rFonts w:hint="default" w:ascii="黑体" w:hAnsi="黑体" w:eastAsia="黑体" w:cs="黑体"/>
        <w:b w:val="0"/>
        <w:bCs/>
        <w:i w:val="0"/>
        <w:sz w:val="30"/>
        <w:szCs w:val="30"/>
      </w:rPr>
    </w:lvl>
    <w:lvl w:ilvl="2" w:tentative="0">
      <w:start w:val="1"/>
      <w:numFmt w:val="decimal"/>
      <w:suff w:val="space"/>
      <w:lvlText w:val="%1.%2.%3"/>
      <w:lvlJc w:val="left"/>
      <w:pPr>
        <w:ind w:left="720" w:hanging="720"/>
      </w:pPr>
      <w:rPr>
        <w:rFonts w:hint="default" w:ascii="楷体_GB2312" w:hAnsi="楷体_GB2312" w:eastAsia="楷体_GB2312" w:cs="楷体_GB2312"/>
        <w:b w:val="0"/>
        <w:bCs/>
        <w:i w:val="0"/>
        <w:sz w:val="30"/>
      </w:rPr>
    </w:lvl>
    <w:lvl w:ilvl="3" w:tentative="0">
      <w:start w:val="1"/>
      <w:numFmt w:val="decimal"/>
      <w:pStyle w:val="5"/>
      <w:suff w:val="space"/>
      <w:lvlText w:val="%1.%2.%3.%4"/>
      <w:lvlJc w:val="left"/>
      <w:pPr>
        <w:ind w:left="864" w:hanging="864"/>
      </w:pPr>
      <w:rPr>
        <w:rFonts w:hint="default" w:ascii="仿宋_GB2312" w:hAnsi="仿宋_GB2312" w:eastAsia="仿宋_GB2312" w:cs="仿宋_GB2312"/>
        <w:b w:val="0"/>
        <w:bCs/>
        <w:i w:val="0"/>
        <w:sz w:val="30"/>
        <w:szCs w:val="30"/>
      </w:rPr>
    </w:lvl>
    <w:lvl w:ilvl="4" w:tentative="0">
      <w:start w:val="1"/>
      <w:numFmt w:val="decimal"/>
      <w:suff w:val="space"/>
      <w:lvlText w:val="%1.%2.%3.%4.%5"/>
      <w:lvlJc w:val="left"/>
      <w:pPr>
        <w:ind w:left="1008" w:hanging="1008"/>
      </w:pPr>
      <w:rPr>
        <w:rFonts w:hint="eastAsia" w:ascii="宋体" w:eastAsia="宋体"/>
        <w:b/>
        <w:i w:val="0"/>
        <w:sz w:val="24"/>
      </w:rPr>
    </w:lvl>
    <w:lvl w:ilvl="5" w:tentative="0">
      <w:start w:val="1"/>
      <w:numFmt w:val="decimal"/>
      <w:lvlText w:val="%1.%2.%3.%4.%5.%6"/>
      <w:lvlJc w:val="left"/>
      <w:pPr>
        <w:tabs>
          <w:tab w:val="left" w:pos="0"/>
        </w:tabs>
        <w:ind w:left="1152" w:hanging="1152"/>
      </w:pPr>
      <w:rPr>
        <w:rFonts w:hint="eastAsia"/>
      </w:rPr>
    </w:lvl>
    <w:lvl w:ilvl="6" w:tentative="0">
      <w:start w:val="1"/>
      <w:numFmt w:val="decimal"/>
      <w:lvlText w:val="%1.%2.%3.%4.%5.%6.%7"/>
      <w:lvlJc w:val="left"/>
      <w:pPr>
        <w:tabs>
          <w:tab w:val="left" w:pos="0"/>
        </w:tabs>
        <w:ind w:left="1296" w:hanging="1296"/>
      </w:pPr>
      <w:rPr>
        <w:rFonts w:hint="eastAsia"/>
      </w:rPr>
    </w:lvl>
    <w:lvl w:ilvl="7" w:tentative="0">
      <w:start w:val="1"/>
      <w:numFmt w:val="decimal"/>
      <w:lvlText w:val="%1.%2.%3.%4.%5.%6.%7.%8"/>
      <w:lvlJc w:val="left"/>
      <w:pPr>
        <w:tabs>
          <w:tab w:val="left" w:pos="0"/>
        </w:tabs>
        <w:ind w:left="1440" w:hanging="1440"/>
      </w:pPr>
      <w:rPr>
        <w:rFonts w:hint="eastAsia"/>
      </w:rPr>
    </w:lvl>
    <w:lvl w:ilvl="8" w:tentative="0">
      <w:start w:val="1"/>
      <w:numFmt w:val="decimal"/>
      <w:lvlText w:val="%1.%2.%3.%4.%5.%6.%7.%8.%9"/>
      <w:lvlJc w:val="left"/>
      <w:pPr>
        <w:tabs>
          <w:tab w:val="left" w:pos="0"/>
        </w:tabs>
        <w:ind w:left="1584" w:hanging="1584"/>
      </w:pPr>
      <w:rPr>
        <w:rFonts w:hint="eastAsia"/>
      </w:rPr>
    </w:lvl>
  </w:abstractNum>
  <w:num w:numId="1">
    <w:abstractNumId w:val="9"/>
  </w:num>
  <w:num w:numId="2">
    <w:abstractNumId w:val="3"/>
  </w:num>
  <w:num w:numId="3">
    <w:abstractNumId w:val="8"/>
  </w:num>
  <w:num w:numId="4">
    <w:abstractNumId w:val="0"/>
  </w:num>
  <w:num w:numId="5">
    <w:abstractNumId w:val="5"/>
  </w:num>
  <w:num w:numId="6">
    <w:abstractNumId w:val="6"/>
  </w:num>
  <w:num w:numId="7">
    <w:abstractNumId w:val="2"/>
  </w:num>
  <w:num w:numId="8">
    <w:abstractNumId w:val="4"/>
  </w:num>
  <w:num w:numId="9">
    <w:abstractNumId w:val="7"/>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侯可臻">
    <w15:presenceInfo w15:providerId="WPS Office" w15:userId="5345435091"/>
  </w15:person>
  <w15:person w15:author="闫晓伟">
    <w15:presenceInfo w15:providerId="WPS Office" w15:userId="2893562201"/>
  </w15:person>
  <w15:person w15:author="徐梦竹律师">
    <w15:presenceInfo w15:providerId="WPS Office" w15:userId="12123966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6D5705"/>
    <w:rsid w:val="0098388D"/>
    <w:rsid w:val="00AA2F49"/>
    <w:rsid w:val="01946729"/>
    <w:rsid w:val="01BF5575"/>
    <w:rsid w:val="01C761D7"/>
    <w:rsid w:val="02251150"/>
    <w:rsid w:val="028C278B"/>
    <w:rsid w:val="02F84FDF"/>
    <w:rsid w:val="03783199"/>
    <w:rsid w:val="039A75F0"/>
    <w:rsid w:val="043B10FF"/>
    <w:rsid w:val="044F7748"/>
    <w:rsid w:val="05BA67E6"/>
    <w:rsid w:val="05DD06BF"/>
    <w:rsid w:val="061B74BD"/>
    <w:rsid w:val="068400A0"/>
    <w:rsid w:val="06C618DB"/>
    <w:rsid w:val="06EF1EDE"/>
    <w:rsid w:val="07B436A2"/>
    <w:rsid w:val="08230FE7"/>
    <w:rsid w:val="0870581B"/>
    <w:rsid w:val="08D132F7"/>
    <w:rsid w:val="097E58B4"/>
    <w:rsid w:val="09B71227"/>
    <w:rsid w:val="09E10052"/>
    <w:rsid w:val="09E15512"/>
    <w:rsid w:val="09E85B5D"/>
    <w:rsid w:val="0A1C108A"/>
    <w:rsid w:val="0A9778B8"/>
    <w:rsid w:val="0B0C60DD"/>
    <w:rsid w:val="0B5A1F7A"/>
    <w:rsid w:val="0BC6115D"/>
    <w:rsid w:val="0C582584"/>
    <w:rsid w:val="0C8F16CD"/>
    <w:rsid w:val="0D2E35AF"/>
    <w:rsid w:val="0DAB39F5"/>
    <w:rsid w:val="0DE100BF"/>
    <w:rsid w:val="0E527771"/>
    <w:rsid w:val="0F46331D"/>
    <w:rsid w:val="0F5F0397"/>
    <w:rsid w:val="0FEB1CE2"/>
    <w:rsid w:val="108D1D30"/>
    <w:rsid w:val="11780BFF"/>
    <w:rsid w:val="123152ED"/>
    <w:rsid w:val="126E269F"/>
    <w:rsid w:val="131D26E3"/>
    <w:rsid w:val="13A31C41"/>
    <w:rsid w:val="13BC5DB8"/>
    <w:rsid w:val="142179C9"/>
    <w:rsid w:val="142A4AE2"/>
    <w:rsid w:val="145558C5"/>
    <w:rsid w:val="147D0CCA"/>
    <w:rsid w:val="14BC76F2"/>
    <w:rsid w:val="14CD21B3"/>
    <w:rsid w:val="14FB4178"/>
    <w:rsid w:val="14FC1476"/>
    <w:rsid w:val="150B2427"/>
    <w:rsid w:val="152143B8"/>
    <w:rsid w:val="15C301DF"/>
    <w:rsid w:val="162738E6"/>
    <w:rsid w:val="16287735"/>
    <w:rsid w:val="162A0C40"/>
    <w:rsid w:val="16FB1D46"/>
    <w:rsid w:val="18B51028"/>
    <w:rsid w:val="194B7296"/>
    <w:rsid w:val="19AD3086"/>
    <w:rsid w:val="19E33973"/>
    <w:rsid w:val="1A077A59"/>
    <w:rsid w:val="1A295205"/>
    <w:rsid w:val="1A2C607F"/>
    <w:rsid w:val="1B430B6D"/>
    <w:rsid w:val="1B6333A7"/>
    <w:rsid w:val="1B6E157A"/>
    <w:rsid w:val="1BA96EA4"/>
    <w:rsid w:val="1BC23D68"/>
    <w:rsid w:val="1C055E22"/>
    <w:rsid w:val="1C173FE9"/>
    <w:rsid w:val="1C2E35CB"/>
    <w:rsid w:val="1CB57848"/>
    <w:rsid w:val="1CF358CD"/>
    <w:rsid w:val="1D4E0B9F"/>
    <w:rsid w:val="1D5232E9"/>
    <w:rsid w:val="1DA47177"/>
    <w:rsid w:val="1E062CB9"/>
    <w:rsid w:val="1E0668B5"/>
    <w:rsid w:val="1E1E7776"/>
    <w:rsid w:val="1E261F32"/>
    <w:rsid w:val="20BC4690"/>
    <w:rsid w:val="21464F13"/>
    <w:rsid w:val="219E6AFD"/>
    <w:rsid w:val="23151041"/>
    <w:rsid w:val="232D386A"/>
    <w:rsid w:val="23D245E4"/>
    <w:rsid w:val="23E97DD8"/>
    <w:rsid w:val="241471CA"/>
    <w:rsid w:val="24857B00"/>
    <w:rsid w:val="24A217AC"/>
    <w:rsid w:val="24A3573A"/>
    <w:rsid w:val="24E405D6"/>
    <w:rsid w:val="25282153"/>
    <w:rsid w:val="252C4420"/>
    <w:rsid w:val="25301C5F"/>
    <w:rsid w:val="253F4153"/>
    <w:rsid w:val="2551032A"/>
    <w:rsid w:val="25544D4D"/>
    <w:rsid w:val="25891872"/>
    <w:rsid w:val="25AE6883"/>
    <w:rsid w:val="25BD32CA"/>
    <w:rsid w:val="25E371D4"/>
    <w:rsid w:val="260458EE"/>
    <w:rsid w:val="26127ABA"/>
    <w:rsid w:val="26186CDD"/>
    <w:rsid w:val="261C6242"/>
    <w:rsid w:val="26396DF4"/>
    <w:rsid w:val="26555BF8"/>
    <w:rsid w:val="26AD333E"/>
    <w:rsid w:val="27684EDE"/>
    <w:rsid w:val="278A18D2"/>
    <w:rsid w:val="27921B5C"/>
    <w:rsid w:val="27EE3C0E"/>
    <w:rsid w:val="28060C67"/>
    <w:rsid w:val="28B44E58"/>
    <w:rsid w:val="29272709"/>
    <w:rsid w:val="294F4B81"/>
    <w:rsid w:val="29A7790A"/>
    <w:rsid w:val="29BD7F5A"/>
    <w:rsid w:val="29CA4207"/>
    <w:rsid w:val="2A063491"/>
    <w:rsid w:val="2A885BB4"/>
    <w:rsid w:val="2A9A1E2C"/>
    <w:rsid w:val="2ADE365A"/>
    <w:rsid w:val="2B3A5D14"/>
    <w:rsid w:val="2B64045A"/>
    <w:rsid w:val="2BC5737C"/>
    <w:rsid w:val="2BD548D8"/>
    <w:rsid w:val="2C332538"/>
    <w:rsid w:val="2C8E3C12"/>
    <w:rsid w:val="2CFC2A70"/>
    <w:rsid w:val="2D050A34"/>
    <w:rsid w:val="2D1227E2"/>
    <w:rsid w:val="2D2B1556"/>
    <w:rsid w:val="2E0E2588"/>
    <w:rsid w:val="2E750BE6"/>
    <w:rsid w:val="2E9021DA"/>
    <w:rsid w:val="2E9F341C"/>
    <w:rsid w:val="2F104DB2"/>
    <w:rsid w:val="2FB938DC"/>
    <w:rsid w:val="2FCC7AEC"/>
    <w:rsid w:val="2FEE1A62"/>
    <w:rsid w:val="30A27C8C"/>
    <w:rsid w:val="30D15355"/>
    <w:rsid w:val="30E7514B"/>
    <w:rsid w:val="310B5831"/>
    <w:rsid w:val="31274283"/>
    <w:rsid w:val="327A62FA"/>
    <w:rsid w:val="32963820"/>
    <w:rsid w:val="32B576CA"/>
    <w:rsid w:val="33044C2E"/>
    <w:rsid w:val="33337FEF"/>
    <w:rsid w:val="33435756"/>
    <w:rsid w:val="338A1AE7"/>
    <w:rsid w:val="33A44776"/>
    <w:rsid w:val="33AD2BD0"/>
    <w:rsid w:val="33D360B3"/>
    <w:rsid w:val="33E10537"/>
    <w:rsid w:val="348E0C53"/>
    <w:rsid w:val="350B7C78"/>
    <w:rsid w:val="35217E3B"/>
    <w:rsid w:val="354626A7"/>
    <w:rsid w:val="35C83CF1"/>
    <w:rsid w:val="35D501BC"/>
    <w:rsid w:val="36712090"/>
    <w:rsid w:val="369B1405"/>
    <w:rsid w:val="36AA33F6"/>
    <w:rsid w:val="36B85FBC"/>
    <w:rsid w:val="36BC3278"/>
    <w:rsid w:val="37127723"/>
    <w:rsid w:val="376260A7"/>
    <w:rsid w:val="38174ABC"/>
    <w:rsid w:val="3825367C"/>
    <w:rsid w:val="382E2E74"/>
    <w:rsid w:val="38512DEA"/>
    <w:rsid w:val="3852626E"/>
    <w:rsid w:val="38F811E2"/>
    <w:rsid w:val="391D56A9"/>
    <w:rsid w:val="39276F80"/>
    <w:rsid w:val="3A7D2B54"/>
    <w:rsid w:val="3A8F74D3"/>
    <w:rsid w:val="3B2B1381"/>
    <w:rsid w:val="3BCD02B3"/>
    <w:rsid w:val="3C0A1909"/>
    <w:rsid w:val="3C1A2C1F"/>
    <w:rsid w:val="3C353F4A"/>
    <w:rsid w:val="3CD613E9"/>
    <w:rsid w:val="3D1912D6"/>
    <w:rsid w:val="3D93654B"/>
    <w:rsid w:val="3DE74F30"/>
    <w:rsid w:val="3F055FB6"/>
    <w:rsid w:val="3F122481"/>
    <w:rsid w:val="40024382"/>
    <w:rsid w:val="4005737C"/>
    <w:rsid w:val="400B3A02"/>
    <w:rsid w:val="40477F08"/>
    <w:rsid w:val="404928AB"/>
    <w:rsid w:val="4093139F"/>
    <w:rsid w:val="40D12A83"/>
    <w:rsid w:val="40ED3BA7"/>
    <w:rsid w:val="41792343"/>
    <w:rsid w:val="419929E5"/>
    <w:rsid w:val="41B82E6B"/>
    <w:rsid w:val="422750BD"/>
    <w:rsid w:val="42291FBB"/>
    <w:rsid w:val="428471F1"/>
    <w:rsid w:val="42BC571E"/>
    <w:rsid w:val="42F62146"/>
    <w:rsid w:val="433A1522"/>
    <w:rsid w:val="438902EA"/>
    <w:rsid w:val="43E87468"/>
    <w:rsid w:val="44A10D67"/>
    <w:rsid w:val="44C67F95"/>
    <w:rsid w:val="44F71432"/>
    <w:rsid w:val="45336CAD"/>
    <w:rsid w:val="458A0FC3"/>
    <w:rsid w:val="45BC54BB"/>
    <w:rsid w:val="46406C9A"/>
    <w:rsid w:val="46D52711"/>
    <w:rsid w:val="46DC3AA0"/>
    <w:rsid w:val="46F05FD3"/>
    <w:rsid w:val="470A6855"/>
    <w:rsid w:val="472E597E"/>
    <w:rsid w:val="476B6BD2"/>
    <w:rsid w:val="47CF7161"/>
    <w:rsid w:val="48303B74"/>
    <w:rsid w:val="484D62D8"/>
    <w:rsid w:val="488345C4"/>
    <w:rsid w:val="48A4239B"/>
    <w:rsid w:val="48E00EFA"/>
    <w:rsid w:val="49FE1A8B"/>
    <w:rsid w:val="4A1E050C"/>
    <w:rsid w:val="4A722025"/>
    <w:rsid w:val="4A7706DB"/>
    <w:rsid w:val="4AD7381F"/>
    <w:rsid w:val="4B204964"/>
    <w:rsid w:val="4B256F34"/>
    <w:rsid w:val="4C3457E4"/>
    <w:rsid w:val="4C373527"/>
    <w:rsid w:val="4C5A3A1A"/>
    <w:rsid w:val="4CC50080"/>
    <w:rsid w:val="4D094EC3"/>
    <w:rsid w:val="4D372C3B"/>
    <w:rsid w:val="4DA56BF6"/>
    <w:rsid w:val="4DB95442"/>
    <w:rsid w:val="4E5E4D9B"/>
    <w:rsid w:val="4EBB23F1"/>
    <w:rsid w:val="4EDB63EB"/>
    <w:rsid w:val="4F2002A2"/>
    <w:rsid w:val="4F672375"/>
    <w:rsid w:val="4F9111A0"/>
    <w:rsid w:val="4FAF7EFA"/>
    <w:rsid w:val="4FB530E0"/>
    <w:rsid w:val="50952AE4"/>
    <w:rsid w:val="50A01365"/>
    <w:rsid w:val="51053BF3"/>
    <w:rsid w:val="5119144D"/>
    <w:rsid w:val="511D718F"/>
    <w:rsid w:val="51426BF5"/>
    <w:rsid w:val="518508DF"/>
    <w:rsid w:val="51B411DC"/>
    <w:rsid w:val="51EE4687"/>
    <w:rsid w:val="5208536C"/>
    <w:rsid w:val="52514F1D"/>
    <w:rsid w:val="52770B21"/>
    <w:rsid w:val="52CF6267"/>
    <w:rsid w:val="52D715BF"/>
    <w:rsid w:val="52F061DD"/>
    <w:rsid w:val="5386726D"/>
    <w:rsid w:val="538A6632"/>
    <w:rsid w:val="53B03160"/>
    <w:rsid w:val="54556C40"/>
    <w:rsid w:val="546B6463"/>
    <w:rsid w:val="547D1CF3"/>
    <w:rsid w:val="54877ACD"/>
    <w:rsid w:val="54891BE5"/>
    <w:rsid w:val="549E07CC"/>
    <w:rsid w:val="54AD6AF1"/>
    <w:rsid w:val="54EA101A"/>
    <w:rsid w:val="54FE2BCB"/>
    <w:rsid w:val="550A7A2A"/>
    <w:rsid w:val="551408A9"/>
    <w:rsid w:val="55175CA3"/>
    <w:rsid w:val="552D196B"/>
    <w:rsid w:val="55434CEA"/>
    <w:rsid w:val="558275C0"/>
    <w:rsid w:val="55BA1450"/>
    <w:rsid w:val="55D818D6"/>
    <w:rsid w:val="567B1855"/>
    <w:rsid w:val="56814E3E"/>
    <w:rsid w:val="56A86B88"/>
    <w:rsid w:val="57356B5F"/>
    <w:rsid w:val="575B6C83"/>
    <w:rsid w:val="576176AA"/>
    <w:rsid w:val="57B27F05"/>
    <w:rsid w:val="57C96FA8"/>
    <w:rsid w:val="57FE0E6E"/>
    <w:rsid w:val="5809221B"/>
    <w:rsid w:val="580D1784"/>
    <w:rsid w:val="581420D7"/>
    <w:rsid w:val="58712113"/>
    <w:rsid w:val="593516B6"/>
    <w:rsid w:val="594F0AB2"/>
    <w:rsid w:val="59875AED"/>
    <w:rsid w:val="59F75903"/>
    <w:rsid w:val="59FE51CE"/>
    <w:rsid w:val="5A663955"/>
    <w:rsid w:val="5A8E7CE3"/>
    <w:rsid w:val="5AB03F28"/>
    <w:rsid w:val="5AD45E44"/>
    <w:rsid w:val="5BEA5EBF"/>
    <w:rsid w:val="5CA40764"/>
    <w:rsid w:val="5CAA1829"/>
    <w:rsid w:val="5CF039A9"/>
    <w:rsid w:val="5D261179"/>
    <w:rsid w:val="5D267DAB"/>
    <w:rsid w:val="5D720862"/>
    <w:rsid w:val="5EE74938"/>
    <w:rsid w:val="5F301A83"/>
    <w:rsid w:val="600A2C1F"/>
    <w:rsid w:val="61127044"/>
    <w:rsid w:val="613F280A"/>
    <w:rsid w:val="614C566C"/>
    <w:rsid w:val="618108CF"/>
    <w:rsid w:val="61B825BC"/>
    <w:rsid w:val="61F730E4"/>
    <w:rsid w:val="6212744C"/>
    <w:rsid w:val="626C3AD2"/>
    <w:rsid w:val="62A3501A"/>
    <w:rsid w:val="639D5DF1"/>
    <w:rsid w:val="63DF35A8"/>
    <w:rsid w:val="641307EF"/>
    <w:rsid w:val="642D7291"/>
    <w:rsid w:val="644665A5"/>
    <w:rsid w:val="649A0DC1"/>
    <w:rsid w:val="6519749C"/>
    <w:rsid w:val="65832B14"/>
    <w:rsid w:val="659B176C"/>
    <w:rsid w:val="65A41C8F"/>
    <w:rsid w:val="66041D69"/>
    <w:rsid w:val="663245DA"/>
    <w:rsid w:val="66524D8D"/>
    <w:rsid w:val="66882EA5"/>
    <w:rsid w:val="6692162D"/>
    <w:rsid w:val="66B45A48"/>
    <w:rsid w:val="66B912B0"/>
    <w:rsid w:val="66C20D8F"/>
    <w:rsid w:val="674566A0"/>
    <w:rsid w:val="67AE693B"/>
    <w:rsid w:val="67D54C00"/>
    <w:rsid w:val="68091DC3"/>
    <w:rsid w:val="682E16AF"/>
    <w:rsid w:val="683D099D"/>
    <w:rsid w:val="69C45FA2"/>
    <w:rsid w:val="69C51D1A"/>
    <w:rsid w:val="6A1A2308"/>
    <w:rsid w:val="6AD2037A"/>
    <w:rsid w:val="6AFD14CE"/>
    <w:rsid w:val="6B5D0986"/>
    <w:rsid w:val="6B610780"/>
    <w:rsid w:val="6BA555E0"/>
    <w:rsid w:val="6BBD0EFB"/>
    <w:rsid w:val="6BCE3108"/>
    <w:rsid w:val="6CAB51F7"/>
    <w:rsid w:val="6D0448B3"/>
    <w:rsid w:val="6D992BE2"/>
    <w:rsid w:val="6DA668BC"/>
    <w:rsid w:val="6DF8446C"/>
    <w:rsid w:val="6DFD5F26"/>
    <w:rsid w:val="6E1119D2"/>
    <w:rsid w:val="6E445903"/>
    <w:rsid w:val="6E453871"/>
    <w:rsid w:val="6F241291"/>
    <w:rsid w:val="6FB149D1"/>
    <w:rsid w:val="6FD74555"/>
    <w:rsid w:val="6FE07D0B"/>
    <w:rsid w:val="6FE46B92"/>
    <w:rsid w:val="6FED5B27"/>
    <w:rsid w:val="7027557A"/>
    <w:rsid w:val="702E01D5"/>
    <w:rsid w:val="705979D4"/>
    <w:rsid w:val="70DF36C1"/>
    <w:rsid w:val="70FE448F"/>
    <w:rsid w:val="726829F3"/>
    <w:rsid w:val="727A7B45"/>
    <w:rsid w:val="72DA6836"/>
    <w:rsid w:val="731D3DCF"/>
    <w:rsid w:val="732E6B82"/>
    <w:rsid w:val="73962032"/>
    <w:rsid w:val="73AC6CBC"/>
    <w:rsid w:val="73CC4D0D"/>
    <w:rsid w:val="744618F2"/>
    <w:rsid w:val="74471CA9"/>
    <w:rsid w:val="744F5002"/>
    <w:rsid w:val="74A278C7"/>
    <w:rsid w:val="74B310ED"/>
    <w:rsid w:val="74CA409A"/>
    <w:rsid w:val="763A5C38"/>
    <w:rsid w:val="765C2C2E"/>
    <w:rsid w:val="77161E07"/>
    <w:rsid w:val="77950F7E"/>
    <w:rsid w:val="77CF0586"/>
    <w:rsid w:val="780A60E5"/>
    <w:rsid w:val="78B06145"/>
    <w:rsid w:val="78BB4A14"/>
    <w:rsid w:val="78D44A64"/>
    <w:rsid w:val="78E026CC"/>
    <w:rsid w:val="7A0C718E"/>
    <w:rsid w:val="7A3941D4"/>
    <w:rsid w:val="7A8333F9"/>
    <w:rsid w:val="7A9D6AC7"/>
    <w:rsid w:val="7AAB6E88"/>
    <w:rsid w:val="7B0F3CC0"/>
    <w:rsid w:val="7B2E0EA7"/>
    <w:rsid w:val="7BE97AEA"/>
    <w:rsid w:val="7C0B1214"/>
    <w:rsid w:val="7C2D79D7"/>
    <w:rsid w:val="7C5533D1"/>
    <w:rsid w:val="7CAF663E"/>
    <w:rsid w:val="7CB93960"/>
    <w:rsid w:val="7CBB31E9"/>
    <w:rsid w:val="7E2412AD"/>
    <w:rsid w:val="7E631DD5"/>
    <w:rsid w:val="7E683079"/>
    <w:rsid w:val="7E926217"/>
    <w:rsid w:val="7EB10D93"/>
    <w:rsid w:val="7F954211"/>
    <w:rsid w:val="7FFC30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rPr>
  </w:style>
  <w:style w:type="paragraph" w:styleId="3">
    <w:name w:val="heading 2"/>
    <w:basedOn w:val="1"/>
    <w:next w:val="1"/>
    <w:qFormat/>
    <w:uiPriority w:val="0"/>
    <w:pPr>
      <w:spacing w:before="0" w:beforeAutospacing="1" w:after="0" w:afterAutospacing="1"/>
      <w:jc w:val="left"/>
    </w:pPr>
    <w:rPr>
      <w:rFonts w:hint="eastAsia" w:ascii="宋体" w:hAnsi="宋体" w:eastAsia="宋体" w:cs="宋体"/>
      <w:b/>
      <w:bCs/>
      <w:kern w:val="0"/>
      <w:sz w:val="36"/>
      <w:szCs w:val="36"/>
      <w:lang w:val="en-US" w:eastAsia="zh-CN"/>
    </w:rPr>
  </w:style>
  <w:style w:type="paragraph" w:styleId="4">
    <w:name w:val="heading 3"/>
    <w:basedOn w:val="1"/>
    <w:next w:val="1"/>
    <w:unhideWhenUsed/>
    <w:qFormat/>
    <w:uiPriority w:val="9"/>
    <w:pPr>
      <w:keepNext/>
      <w:keepLines/>
      <w:widowControl w:val="0"/>
      <w:spacing w:before="260" w:after="180"/>
      <w:jc w:val="both"/>
      <w:outlineLvl w:val="2"/>
    </w:pPr>
    <w:rPr>
      <w:rFonts w:ascii="Arial" w:hAnsi="Arial" w:eastAsia="Arial Unicode MS" w:cs="Arial Unicode MS"/>
      <w:b/>
      <w:bCs/>
      <w:color w:val="000000"/>
      <w:kern w:val="2"/>
      <w:sz w:val="30"/>
      <w:szCs w:val="30"/>
      <w:u w:color="000000"/>
      <w:lang w:val="en-US" w:eastAsia="zh-CN" w:bidi="ar-SA"/>
    </w:rPr>
  </w:style>
  <w:style w:type="paragraph" w:styleId="5">
    <w:name w:val="heading 4"/>
    <w:basedOn w:val="1"/>
    <w:next w:val="1"/>
    <w:qFormat/>
    <w:uiPriority w:val="0"/>
    <w:pPr>
      <w:keepNext/>
      <w:widowControl w:val="0"/>
      <w:numPr>
        <w:ilvl w:val="3"/>
        <w:numId w:val="1"/>
      </w:numPr>
      <w:spacing w:before="60" w:after="60" w:line="360" w:lineRule="auto"/>
      <w:outlineLvl w:val="3"/>
    </w:pPr>
    <w:rPr>
      <w:rFonts w:ascii="宋体" w:hAnsi="Cambria" w:eastAsia="宋体" w:cs="Times New Roman"/>
      <w:b/>
      <w:bCs/>
      <w:kern w:val="2"/>
      <w:sz w:val="28"/>
      <w:szCs w:val="28"/>
      <w:lang w:val="en-US" w:eastAsia="zh-CN" w:bidi="ar-SA"/>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unhideWhenUsed/>
    <w:qFormat/>
    <w:uiPriority w:val="99"/>
    <w:pPr>
      <w:ind w:firstLine="420" w:firstLineChars="200"/>
    </w:pPr>
    <w:rPr>
      <w:rFonts w:ascii="Times New Roman" w:hAnsi="Times New Roman"/>
    </w:rPr>
  </w:style>
  <w:style w:type="paragraph" w:styleId="7">
    <w:name w:val="annotation text"/>
    <w:basedOn w:val="1"/>
    <w:qFormat/>
    <w:uiPriority w:val="0"/>
    <w:pPr>
      <w:jc w:val="left"/>
    </w:pPr>
  </w:style>
  <w:style w:type="paragraph" w:styleId="8">
    <w:name w:val="Body Text"/>
    <w:basedOn w:val="1"/>
    <w:next w:val="1"/>
    <w:semiHidden/>
    <w:qFormat/>
    <w:uiPriority w:val="0"/>
    <w:rPr>
      <w:rFonts w:ascii="宋体" w:hAnsi="宋体" w:eastAsia="宋体" w:cs="宋体"/>
      <w:sz w:val="24"/>
      <w:szCs w:val="24"/>
      <w:lang w:val="en-US" w:eastAsia="en-US" w:bidi="ar-SA"/>
    </w:rPr>
  </w:style>
  <w:style w:type="paragraph" w:styleId="9">
    <w:name w:val="Body Text Indent"/>
    <w:basedOn w:val="1"/>
    <w:next w:val="1"/>
    <w:qFormat/>
    <w:uiPriority w:val="0"/>
    <w:pPr>
      <w:spacing w:after="120"/>
      <w:ind w:left="420" w:leftChars="200"/>
    </w:pPr>
    <w:rPr>
      <w:rFonts w:ascii="Times New Roman" w:hAnsi="Times New Roman" w:eastAsia="Times New Roman"/>
      <w:kern w:val="0"/>
      <w:sz w:val="20"/>
      <w:szCs w:val="21"/>
    </w:r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Body Text 2"/>
    <w:basedOn w:val="1"/>
    <w:qFormat/>
    <w:uiPriority w:val="0"/>
    <w:pPr>
      <w:spacing w:after="120" w:line="480" w:lineRule="auto"/>
    </w:pPr>
    <w:rPr>
      <w:szCs w:val="20"/>
    </w:rPr>
  </w:style>
  <w:style w:type="paragraph" w:styleId="16">
    <w:name w:val="Body Text First Indent 2"/>
    <w:basedOn w:val="9"/>
    <w:next w:val="1"/>
    <w:qFormat/>
    <w:uiPriority w:val="0"/>
    <w:pPr>
      <w:ind w:firstLine="420" w:firstLineChars="200"/>
    </w:pPr>
  </w:style>
  <w:style w:type="table" w:styleId="18">
    <w:name w:val="Table Grid"/>
    <w:basedOn w:val="17"/>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page number"/>
    <w:basedOn w:val="19"/>
    <w:qFormat/>
    <w:uiPriority w:val="0"/>
  </w:style>
  <w:style w:type="character" w:styleId="21">
    <w:name w:val="Hyperlink"/>
    <w:basedOn w:val="19"/>
    <w:qFormat/>
    <w:uiPriority w:val="0"/>
    <w:rPr>
      <w:color w:val="0000FF"/>
      <w:u w:val="single"/>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Table Text"/>
    <w:basedOn w:val="1"/>
    <w:semiHidden/>
    <w:qFormat/>
    <w:uiPriority w:val="0"/>
    <w:rPr>
      <w:rFonts w:ascii="宋体" w:hAnsi="宋体" w:eastAsia="宋体" w:cs="宋体"/>
      <w:sz w:val="21"/>
      <w:szCs w:val="21"/>
      <w:lang w:val="en-US" w:eastAsia="en-US" w:bidi="ar-SA"/>
    </w:rPr>
  </w:style>
  <w:style w:type="paragraph" w:customStyle="1" w:styleId="24">
    <w:name w:val="样式 黑色 首行缩进:  0.85 厘米 行距: 固定值 20 磅"/>
    <w:basedOn w:val="1"/>
    <w:qFormat/>
    <w:uiPriority w:val="0"/>
    <w:pPr>
      <w:tabs>
        <w:tab w:val="left" w:pos="8789"/>
      </w:tabs>
      <w:adjustRightInd w:val="0"/>
      <w:snapToGrid w:val="0"/>
      <w:spacing w:line="360" w:lineRule="auto"/>
      <w:ind w:right="57" w:firstLine="232" w:firstLineChars="100"/>
    </w:pPr>
    <w:rPr>
      <w:rFonts w:ascii="宋体" w:hAnsi="宋体"/>
      <w:color w:val="000000"/>
      <w:spacing w:val="-4"/>
      <w:sz w:val="24"/>
    </w:rPr>
  </w:style>
  <w:style w:type="paragraph" w:customStyle="1" w:styleId="25">
    <w:name w:val="Default"/>
    <w:autoRedefine/>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paragraph" w:customStyle="1" w:styleId="26">
    <w:name w:val="List Paragraph2"/>
    <w:basedOn w:val="1"/>
    <w:autoRedefine/>
    <w:qFormat/>
    <w:uiPriority w:val="99"/>
  </w:style>
  <w:style w:type="character" w:customStyle="1" w:styleId="27">
    <w:name w:val="font41"/>
    <w:basedOn w:val="19"/>
    <w:qFormat/>
    <w:uiPriority w:val="0"/>
    <w:rPr>
      <w:rFonts w:hint="eastAsia" w:ascii="宋体" w:hAnsi="宋体" w:eastAsia="宋体" w:cs="宋体"/>
      <w:color w:val="000000"/>
      <w:sz w:val="20"/>
      <w:szCs w:val="20"/>
      <w:u w:val="none"/>
    </w:rPr>
  </w:style>
  <w:style w:type="character" w:customStyle="1" w:styleId="28">
    <w:name w:val="font11"/>
    <w:basedOn w:val="19"/>
    <w:qFormat/>
    <w:uiPriority w:val="0"/>
    <w:rPr>
      <w:rFonts w:hint="eastAsia" w:ascii="仿宋" w:hAnsi="仿宋" w:eastAsia="仿宋" w:cs="仿宋"/>
      <w:b/>
      <w:bCs/>
      <w:color w:val="000000"/>
      <w:sz w:val="24"/>
      <w:szCs w:val="24"/>
      <w:u w:val="none"/>
    </w:rPr>
  </w:style>
  <w:style w:type="paragraph" w:customStyle="1" w:styleId="29">
    <w:name w:val="项目1级"/>
    <w:basedOn w:val="1"/>
    <w:qFormat/>
    <w:uiPriority w:val="0"/>
    <w:pPr>
      <w:spacing w:beforeLines="100" w:afterLines="100"/>
      <w:ind w:firstLine="0" w:firstLineChars="0"/>
      <w:jc w:val="center"/>
      <w:outlineLvl w:val="0"/>
    </w:pPr>
    <w:rPr>
      <w:rFonts w:cs="Times New Roman" w:asciiTheme="minorEastAsia" w:hAnsiTheme="minorEastAsia" w:eastAsiaTheme="minorEastAsia"/>
      <w:b/>
      <w:sz w:val="32"/>
      <w:szCs w:val="32"/>
    </w:rPr>
  </w:style>
  <w:style w:type="paragraph" w:customStyle="1" w:styleId="30">
    <w:name w:val="*正文"/>
    <w:basedOn w:val="1"/>
    <w:qFormat/>
    <w:uiPriority w:val="0"/>
    <w:rPr>
      <w:rFonts w:ascii="Times New Roman" w:hAnsi="宋体" w:cs="Times New Roman"/>
      <w:szCs w:val="24"/>
      <w:lang w:val="zh-CN" w:eastAsia="zh-CN"/>
    </w:rPr>
  </w:style>
  <w:style w:type="paragraph" w:customStyle="1" w:styleId="31">
    <w:name w:val="TOC Heading"/>
    <w:basedOn w:val="2"/>
    <w:next w:val="1"/>
    <w:unhideWhenUsed/>
    <w:qFormat/>
    <w:uiPriority w:val="39"/>
    <w:pPr>
      <w:keepNext/>
      <w:keepLines/>
      <w:widowControl/>
      <w:numPr>
        <w:ilvl w:val="0"/>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32">
    <w:name w:val="List Paragraph"/>
    <w:basedOn w:val="1"/>
    <w:qFormat/>
    <w:uiPriority w:val="34"/>
    <w:pPr>
      <w:ind w:firstLine="420"/>
    </w:pPr>
  </w:style>
  <w:style w:type="paragraph" w:customStyle="1" w:styleId="33">
    <w:name w:val="项目正文"/>
    <w:basedOn w:val="1"/>
    <w:qFormat/>
    <w:uiPriority w:val="0"/>
    <w:pPr>
      <w:ind w:firstLine="482" w:firstLineChars="0"/>
    </w:pPr>
    <w:rPr>
      <w:rFonts w:ascii="Times New Roman" w:hAnsi="Times New Roman" w:cs="Times New Roman"/>
      <w:szCs w:val="24"/>
    </w:rPr>
  </w:style>
  <w:style w:type="character" w:customStyle="1" w:styleId="34">
    <w:name w:val="font51"/>
    <w:basedOn w:val="19"/>
    <w:qFormat/>
    <w:uiPriority w:val="0"/>
    <w:rPr>
      <w:rFonts w:ascii="Arial" w:hAnsi="Arial" w:cs="Arial"/>
      <w:color w:val="336699"/>
      <w:sz w:val="20"/>
      <w:szCs w:val="20"/>
      <w:u w:val="none"/>
    </w:rPr>
  </w:style>
  <w:style w:type="character" w:customStyle="1" w:styleId="35">
    <w:name w:val="font61"/>
    <w:basedOn w:val="19"/>
    <w:qFormat/>
    <w:uiPriority w:val="0"/>
    <w:rPr>
      <w:rFonts w:hint="eastAsia" w:ascii="宋体" w:hAnsi="宋体" w:eastAsia="宋体" w:cs="宋体"/>
      <w:color w:val="000000"/>
      <w:sz w:val="20"/>
      <w:szCs w:val="20"/>
      <w:u w:val="none"/>
    </w:rPr>
  </w:style>
  <w:style w:type="character" w:customStyle="1" w:styleId="36">
    <w:name w:val="font31"/>
    <w:basedOn w:val="19"/>
    <w:qFormat/>
    <w:uiPriority w:val="0"/>
    <w:rPr>
      <w:rFonts w:hint="eastAsia" w:ascii="宋体" w:hAnsi="宋体" w:eastAsia="宋体" w:cs="宋体"/>
      <w:color w:val="111111"/>
      <w:sz w:val="20"/>
      <w:szCs w:val="20"/>
      <w:u w:val="none"/>
    </w:rPr>
  </w:style>
  <w:style w:type="character" w:customStyle="1" w:styleId="37">
    <w:name w:val="font81"/>
    <w:basedOn w:val="19"/>
    <w:qFormat/>
    <w:uiPriority w:val="0"/>
    <w:rPr>
      <w:rFonts w:hint="default" w:ascii="Arial" w:hAnsi="Arial" w:cs="Arial"/>
      <w:color w:val="111111"/>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109</Pages>
  <Words>10045</Words>
  <Characters>11298</Characters>
  <TotalTime>36</TotalTime>
  <ScaleCrop>false</ScaleCrop>
  <LinksUpToDate>false</LinksUpToDate>
  <CharactersWithSpaces>11723</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2017-09-05T16:00:00Z</dcterms:created>
  <dc:creator>袁静</dc:creator>
  <cp:lastModifiedBy>侯可臻</cp:lastModifiedBy>
  <dcterms:modified xsi:type="dcterms:W3CDTF">2026-06-16T07:32:59Z</dcterms:modified>
  <dc:title>中华人民共和国</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2025-07-22T10:47:51Z</vt:filetime>
  </property>
  <property fmtid="{D5CDD505-2E9C-101B-9397-08002B2CF9AE}" pid="4" name="KSOTemplateDocerSaveRecord">
    <vt:lpwstr>eyJoZGlkIjoiOTRkZGIxMTcyZGJlNTdhZDc1Mjk2ZGU1ZjlkZjhhM2IiLCJ1c2VySWQiOiIxMzcwNDMwMDE3In0=</vt:lpwstr>
  </property>
  <property fmtid="{D5CDD505-2E9C-101B-9397-08002B2CF9AE}" pid="5" name="KSOProductBuildVer">
    <vt:lpwstr>2052-12.1.0.26895</vt:lpwstr>
  </property>
  <property fmtid="{D5CDD505-2E9C-101B-9397-08002B2CF9AE}" pid="6" name="ICV">
    <vt:lpwstr>980C791C49D64B9DA5B2301714C045B6_13</vt:lpwstr>
  </property>
</Properties>
</file>